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7019" w14:textId="5085122B" w:rsidR="00511561" w:rsidRPr="00F37018" w:rsidRDefault="00511561" w:rsidP="00B2682D">
      <w:pPr>
        <w:pStyle w:val="ArticleTitle"/>
        <w:rPr>
          <w:rFonts w:ascii="Times New Roman" w:hAnsi="Times New Roman"/>
        </w:rPr>
      </w:pPr>
      <w:r w:rsidRPr="00F37018">
        <w:rPr>
          <w:rFonts w:ascii="Times New Roman" w:hAnsi="Times New Roman"/>
        </w:rPr>
        <w:t>Interests in International Law: The International Criminal Court’s Enforcement Gap and Game Theory</w:t>
      </w:r>
    </w:p>
    <w:p w14:paraId="48A51729" w14:textId="77777777" w:rsidR="00CC2517" w:rsidRPr="00F37018" w:rsidRDefault="00511561" w:rsidP="00B2682D">
      <w:pPr>
        <w:pStyle w:val="AuthorName1"/>
        <w:rPr>
          <w:rFonts w:ascii="Times New Roman" w:hAnsi="Times New Roman"/>
        </w:rPr>
      </w:pPr>
      <w:r w:rsidRPr="00F37018">
        <w:rPr>
          <w:rFonts w:ascii="Times New Roman" w:hAnsi="Times New Roman"/>
        </w:rPr>
        <w:t>Jackson Webb</w:t>
      </w:r>
      <w:r w:rsidR="00CC2517" w:rsidRPr="00F37018">
        <w:rPr>
          <w:rFonts w:ascii="Times New Roman" w:hAnsi="Times New Roman"/>
        </w:rPr>
        <w:t> </w:t>
      </w:r>
    </w:p>
    <w:p w14:paraId="2F297AAD" w14:textId="772772DC" w:rsidR="00CC2517" w:rsidRPr="00F37018" w:rsidRDefault="00CC2517" w:rsidP="00CC2517">
      <w:pPr>
        <w:pStyle w:val="TOC10"/>
        <w:rPr>
          <w:rFonts w:ascii="Times New Roman" w:eastAsiaTheme="minorEastAsia" w:hAnsi="Times New Roman"/>
          <w:noProof/>
          <w:kern w:val="2"/>
          <w:szCs w:val="24"/>
          <w14:ligatures w14:val="standardContextual"/>
        </w:rPr>
      </w:pPr>
      <w:r w:rsidRPr="00F37018">
        <w:rPr>
          <w:rFonts w:ascii="Times New Roman" w:hAnsi="Times New Roman"/>
        </w:rPr>
        <w:fldChar w:fldCharType="begin"/>
      </w:r>
      <w:r w:rsidRPr="00F37018">
        <w:rPr>
          <w:rFonts w:ascii="Times New Roman" w:hAnsi="Times New Roman"/>
        </w:rPr>
        <w:instrText xml:space="preserve"> TOC \o "1-9" \z \t "_Head1,1,_Head2,2,_Head3,3,_Head4,4,_Head5,5" </w:instrText>
      </w:r>
      <w:r w:rsidRPr="00F37018">
        <w:rPr>
          <w:rFonts w:ascii="Times New Roman" w:hAnsi="Times New Roman"/>
        </w:rPr>
        <w:fldChar w:fldCharType="separate"/>
      </w:r>
      <w:r w:rsidRPr="00F37018">
        <w:rPr>
          <w:rFonts w:ascii="Times New Roman" w:hAnsi="Times New Roman"/>
          <w:noProof/>
        </w:rPr>
        <w:t>I.</w:t>
      </w:r>
      <w:r w:rsidRPr="00F37018">
        <w:rPr>
          <w:rFonts w:ascii="Times New Roman" w:hAnsi="Times New Roman"/>
          <w:noProof/>
        </w:rPr>
        <w:tab/>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Introduction</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_Toc226031976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w:t>
      </w:r>
      <w:r w:rsidRPr="00F37018">
        <w:rPr>
          <w:rFonts w:ascii="Times New Roman" w:hAnsi="Times New Roman"/>
          <w:noProof/>
          <w:webHidden/>
        </w:rPr>
        <w:fldChar w:fldCharType="end"/>
      </w:r>
    </w:p>
    <w:p w14:paraId="6554049B" w14:textId="3F6E5623" w:rsidR="00CC2517" w:rsidRPr="00F37018" w:rsidRDefault="00CC2517" w:rsidP="00CC2517">
      <w:pPr>
        <w:pStyle w:val="TOC10"/>
        <w:rPr>
          <w:rFonts w:ascii="Times New Roman" w:eastAsiaTheme="minorEastAsia" w:hAnsi="Times New Roman"/>
          <w:noProof/>
          <w:kern w:val="2"/>
          <w:szCs w:val="24"/>
          <w14:ligatures w14:val="standardContextual"/>
        </w:rPr>
      </w:pPr>
      <w:r w:rsidRPr="00F37018">
        <w:rPr>
          <w:rFonts w:ascii="Times New Roman" w:hAnsi="Times New Roman"/>
          <w:noProof/>
        </w:rPr>
        <w:t>II.</w:t>
      </w:r>
      <w:r w:rsidRPr="00F37018">
        <w:rPr>
          <w:rFonts w:ascii="Times New Roman" w:eastAsiaTheme="minorEastAsia" w:hAnsi="Times New Roman"/>
          <w:noProof/>
          <w:kern w:val="2"/>
          <w:szCs w:val="24"/>
          <w14:ligatures w14:val="standardContextual"/>
        </w:rPr>
        <w:tab/>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Statement of the Case</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_Toc226031977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3</w:t>
      </w:r>
      <w:r w:rsidRPr="00F37018">
        <w:rPr>
          <w:rFonts w:ascii="Times New Roman" w:hAnsi="Times New Roman"/>
          <w:noProof/>
          <w:webHidden/>
        </w:rPr>
        <w:fldChar w:fldCharType="end"/>
      </w:r>
    </w:p>
    <w:p w14:paraId="63418C44" w14:textId="3AADA6D2"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a.</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Israel-Palestine Conflict, in its Current Form</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_Toc226031978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4</w:t>
      </w:r>
      <w:r w:rsidRPr="00F37018">
        <w:rPr>
          <w:rFonts w:ascii="Times New Roman" w:hAnsi="Times New Roman"/>
          <w:noProof/>
          <w:webHidden/>
        </w:rPr>
        <w:fldChar w:fldCharType="end"/>
      </w:r>
    </w:p>
    <w:p w14:paraId="64AF045D" w14:textId="2C9656AC"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b.</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Alleged War Crimes and Crimes Against Humanity of Palestine and Israel, Respectively</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_Toc226031979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5</w:t>
      </w:r>
      <w:r w:rsidRPr="00F37018">
        <w:rPr>
          <w:rFonts w:ascii="Times New Roman" w:hAnsi="Times New Roman"/>
          <w:noProof/>
          <w:webHidden/>
        </w:rPr>
        <w:fldChar w:fldCharType="end"/>
      </w:r>
    </w:p>
    <w:p w14:paraId="294740B3" w14:textId="5C241670"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c.</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ICC’s Arrest Warrants Following the Current Israel-Palestine Conflict</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_Toc226031980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7</w:t>
      </w:r>
      <w:r w:rsidRPr="00F37018">
        <w:rPr>
          <w:rFonts w:ascii="Times New Roman" w:hAnsi="Times New Roman"/>
          <w:noProof/>
          <w:webHidden/>
        </w:rPr>
        <w:fldChar w:fldCharType="end"/>
      </w:r>
    </w:p>
    <w:p w14:paraId="2D89CF7F" w14:textId="423F044F"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d.</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Mongolia’s Violation of and Punishment for Failure to Comply with the ICC’s Arrest Warrant for Putin</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_Toc226031981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7</w:t>
      </w:r>
      <w:r w:rsidRPr="00F37018">
        <w:rPr>
          <w:rFonts w:ascii="Times New Roman" w:hAnsi="Times New Roman"/>
          <w:noProof/>
          <w:webHidden/>
        </w:rPr>
        <w:fldChar w:fldCharType="end"/>
      </w:r>
    </w:p>
    <w:p w14:paraId="1AEA0505" w14:textId="22B3134A"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e.</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Newer Developments in the Israel-Palestine Conflict</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_Toc226031982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8</w:t>
      </w:r>
      <w:r w:rsidRPr="00F37018">
        <w:rPr>
          <w:rFonts w:ascii="Times New Roman" w:hAnsi="Times New Roman"/>
          <w:noProof/>
          <w:webHidden/>
        </w:rPr>
        <w:fldChar w:fldCharType="end"/>
      </w:r>
    </w:p>
    <w:p w14:paraId="1ECF480A" w14:textId="06EB4C11" w:rsidR="00CC2517" w:rsidRPr="00F37018" w:rsidRDefault="00CC2517" w:rsidP="00CC2517">
      <w:pPr>
        <w:pStyle w:val="TOC10"/>
        <w:rPr>
          <w:rFonts w:ascii="Times New Roman" w:eastAsiaTheme="minorEastAsia" w:hAnsi="Times New Roman"/>
          <w:noProof/>
          <w:kern w:val="2"/>
          <w:szCs w:val="24"/>
          <w14:ligatures w14:val="standardContextual"/>
        </w:rPr>
      </w:pPr>
      <w:r w:rsidRPr="00F37018">
        <w:rPr>
          <w:rFonts w:ascii="Times New Roman" w:hAnsi="Times New Roman"/>
          <w:noProof/>
        </w:rPr>
        <w:t>III.</w:t>
      </w:r>
      <w:r w:rsidRPr="00F37018">
        <w:rPr>
          <w:rFonts w:ascii="Times New Roman" w:eastAsiaTheme="minorEastAsia" w:hAnsi="Times New Roman"/>
          <w:noProof/>
          <w:kern w:val="2"/>
          <w:szCs w:val="24"/>
          <w14:ligatures w14:val="standardContextual"/>
        </w:rPr>
        <w:tab/>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Background Law and Analytical Framework</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_Toc226031983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9</w:t>
      </w:r>
      <w:r w:rsidRPr="00F37018">
        <w:rPr>
          <w:rFonts w:ascii="Times New Roman" w:hAnsi="Times New Roman"/>
          <w:noProof/>
          <w:webHidden/>
        </w:rPr>
        <w:fldChar w:fldCharType="end"/>
      </w:r>
    </w:p>
    <w:p w14:paraId="110B7C74" w14:textId="7DA92C63"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a.</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International Criminal Court and the Rome Statute</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_Toc226031984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9</w:t>
      </w:r>
      <w:r w:rsidRPr="00F37018">
        <w:rPr>
          <w:rFonts w:ascii="Times New Roman" w:hAnsi="Times New Roman"/>
          <w:noProof/>
          <w:webHidden/>
        </w:rPr>
        <w:fldChar w:fldCharType="end"/>
      </w:r>
    </w:p>
    <w:p w14:paraId="00B2394C" w14:textId="75B1767E"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b.</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Absence of an Enforcement Mechanism</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_Toc226031985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12</w:t>
      </w:r>
      <w:r w:rsidRPr="00F37018">
        <w:rPr>
          <w:rFonts w:ascii="Times New Roman" w:hAnsi="Times New Roman"/>
          <w:noProof/>
          <w:webHidden/>
        </w:rPr>
        <w:fldChar w:fldCharType="end"/>
      </w:r>
    </w:p>
    <w:p w14:paraId="504CD334" w14:textId="23C6B7DA"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c.</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International Law as an Exercise of Game Theory</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_Toc226031986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14</w:t>
      </w:r>
      <w:r w:rsidRPr="00F37018">
        <w:rPr>
          <w:rFonts w:ascii="Times New Roman" w:hAnsi="Times New Roman"/>
          <w:noProof/>
          <w:webHidden/>
        </w:rPr>
        <w:fldChar w:fldCharType="end"/>
      </w:r>
    </w:p>
    <w:p w14:paraId="2E4F4D61" w14:textId="0BD1E95E" w:rsidR="00CC2517" w:rsidRPr="00F37018" w:rsidRDefault="00CC2517" w:rsidP="00CC2517">
      <w:pPr>
        <w:pStyle w:val="TOC10"/>
        <w:rPr>
          <w:rFonts w:ascii="Times New Roman" w:eastAsiaTheme="minorEastAsia" w:hAnsi="Times New Roman"/>
          <w:noProof/>
          <w:kern w:val="2"/>
          <w:szCs w:val="24"/>
          <w14:ligatures w14:val="standardContextual"/>
        </w:rPr>
      </w:pPr>
      <w:r w:rsidRPr="00F37018">
        <w:rPr>
          <w:rFonts w:ascii="Times New Roman" w:hAnsi="Times New Roman"/>
          <w:noProof/>
        </w:rPr>
        <w:t>IV.</w:t>
      </w:r>
      <w:r w:rsidRPr="00F37018">
        <w:rPr>
          <w:rFonts w:ascii="Times New Roman" w:eastAsiaTheme="minorEastAsia" w:hAnsi="Times New Roman"/>
          <w:noProof/>
          <w:kern w:val="2"/>
          <w:szCs w:val="24"/>
          <w14:ligatures w14:val="standardContextual"/>
        </w:rPr>
        <w:tab/>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Analysis</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_Toc226031987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17</w:t>
      </w:r>
      <w:r w:rsidRPr="00F37018">
        <w:rPr>
          <w:rFonts w:ascii="Times New Roman" w:hAnsi="Times New Roman"/>
          <w:noProof/>
          <w:webHidden/>
        </w:rPr>
        <w:fldChar w:fldCharType="end"/>
      </w:r>
    </w:p>
    <w:p w14:paraId="33585F3A" w14:textId="70F0A28A"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a.</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Israel-Palestine Conflict’s Possible Outcome Under the Rome Statute</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_Toc226031988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17</w:t>
      </w:r>
      <w:r w:rsidRPr="00F37018">
        <w:rPr>
          <w:rFonts w:ascii="Times New Roman" w:hAnsi="Times New Roman"/>
          <w:noProof/>
          <w:webHidden/>
        </w:rPr>
        <w:fldChar w:fldCharType="end"/>
      </w:r>
    </w:p>
    <w:p w14:paraId="6049F781" w14:textId="25746271"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b.</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The Self-Interest View of Game Theory is More Applicable Here than the Normative View</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_Toc226031989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19</w:t>
      </w:r>
      <w:r w:rsidRPr="00F37018">
        <w:rPr>
          <w:rFonts w:ascii="Times New Roman" w:hAnsi="Times New Roman"/>
          <w:noProof/>
          <w:webHidden/>
        </w:rPr>
        <w:fldChar w:fldCharType="end"/>
      </w:r>
    </w:p>
    <w:p w14:paraId="10A8FBFD" w14:textId="4FF35E76" w:rsidR="00CC2517" w:rsidRPr="00F37018" w:rsidRDefault="00CC2517" w:rsidP="00CC2517">
      <w:pPr>
        <w:pStyle w:val="TOC20"/>
        <w:tabs>
          <w:tab w:val="right" w:pos="440"/>
          <w:tab w:val="left" w:pos="600"/>
          <w:tab w:val="left" w:pos="1320"/>
        </w:tabs>
        <w:rPr>
          <w:rFonts w:ascii="Times New Roman" w:eastAsiaTheme="minorEastAsia" w:hAnsi="Times New Roman"/>
          <w:noProof/>
          <w:kern w:val="2"/>
          <w:szCs w:val="24"/>
          <w14:ligatures w14:val="standardContextual"/>
        </w:rPr>
      </w:pPr>
      <w:r w:rsidRPr="00F37018">
        <w:rPr>
          <w:rFonts w:ascii="Times New Roman" w:hAnsi="Times New Roman"/>
          <w:noProof/>
        </w:rPr>
        <w:t>c.</w:t>
      </w:r>
      <w:r w:rsidRPr="00F37018">
        <w:rPr>
          <w:rFonts w:ascii="Times New Roman" w:eastAsiaTheme="minorEastAsia" w:hAnsi="Times New Roman"/>
          <w:noProof/>
          <w:kern w:val="2"/>
          <w:szCs w:val="24"/>
          <w14:ligatures w14:val="standardContextual"/>
        </w:rPr>
        <w:tab/>
      </w:r>
      <w:r w:rsidRPr="00F37018">
        <w:rPr>
          <w:rFonts w:ascii="Times New Roman" w:hAnsi="Times New Roman"/>
          <w:noProof/>
        </w:rPr>
        <w:t>A (Lack of) Resolution to the Israel-Palestine Conflict Under Game Theory</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_Toc226031990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26</w:t>
      </w:r>
      <w:r w:rsidRPr="00F37018">
        <w:rPr>
          <w:rFonts w:ascii="Times New Roman" w:hAnsi="Times New Roman"/>
          <w:noProof/>
          <w:webHidden/>
        </w:rPr>
        <w:fldChar w:fldCharType="end"/>
      </w:r>
    </w:p>
    <w:p w14:paraId="3DD7D082" w14:textId="3B128788" w:rsidR="00CC2517" w:rsidRPr="00F37018" w:rsidRDefault="00CC2517" w:rsidP="00CC2517">
      <w:pPr>
        <w:pStyle w:val="TOC10"/>
        <w:rPr>
          <w:rFonts w:ascii="Times New Roman" w:eastAsiaTheme="minorEastAsia" w:hAnsi="Times New Roman"/>
          <w:noProof/>
          <w:kern w:val="2"/>
          <w:szCs w:val="24"/>
          <w14:ligatures w14:val="standardContextual"/>
        </w:rPr>
      </w:pPr>
      <w:r w:rsidRPr="00F37018">
        <w:rPr>
          <w:rFonts w:ascii="Times New Roman" w:hAnsi="Times New Roman"/>
          <w:noProof/>
        </w:rPr>
        <w:t xml:space="preserve">V.   </w:t>
      </w:r>
      <w:r w:rsidRPr="00F37018">
        <w:rPr>
          <w:rFonts w:ascii="Times New Roman" w:hAnsi="Times New Roman"/>
          <w:noProof/>
        </w:rPr>
        <w:tab/>
      </w:r>
      <w:r w:rsidRPr="00F37018">
        <w:rPr>
          <w:rFonts w:ascii="Times New Roman" w:hAnsi="Times New Roman"/>
          <w:noProof/>
        </w:rPr>
        <w:tab/>
        <w:t>Conclusion</w:t>
      </w:r>
      <w:r w:rsidRPr="00F37018">
        <w:rPr>
          <w:rFonts w:ascii="Times New Roman" w:hAnsi="Times New Roman"/>
          <w:noProof/>
          <w:webHidden/>
        </w:rPr>
        <w:tab/>
      </w:r>
      <w:r w:rsidRPr="00F37018">
        <w:rPr>
          <w:rFonts w:ascii="Times New Roman" w:hAnsi="Times New Roman"/>
          <w:noProof/>
          <w:webHidden/>
        </w:rPr>
        <w:fldChar w:fldCharType="begin"/>
      </w:r>
      <w:r w:rsidRPr="00F37018">
        <w:rPr>
          <w:rFonts w:ascii="Times New Roman" w:hAnsi="Times New Roman"/>
          <w:noProof/>
          <w:webHidden/>
        </w:rPr>
        <w:instrText xml:space="preserve"> PAGEREF _Toc226031991 \h </w:instrText>
      </w:r>
      <w:r w:rsidRPr="00F37018">
        <w:rPr>
          <w:rFonts w:ascii="Times New Roman" w:hAnsi="Times New Roman"/>
          <w:noProof/>
          <w:webHidden/>
        </w:rPr>
      </w:r>
      <w:r w:rsidRPr="00F37018">
        <w:rPr>
          <w:rFonts w:ascii="Times New Roman" w:hAnsi="Times New Roman"/>
          <w:noProof/>
          <w:webHidden/>
        </w:rPr>
        <w:fldChar w:fldCharType="separate"/>
      </w:r>
      <w:r w:rsidRPr="00F37018">
        <w:rPr>
          <w:rFonts w:ascii="Times New Roman" w:hAnsi="Times New Roman"/>
          <w:noProof/>
          <w:webHidden/>
        </w:rPr>
        <w:t>30</w:t>
      </w:r>
      <w:r w:rsidRPr="00F37018">
        <w:rPr>
          <w:rFonts w:ascii="Times New Roman" w:hAnsi="Times New Roman"/>
          <w:noProof/>
          <w:webHidden/>
        </w:rPr>
        <w:fldChar w:fldCharType="end"/>
      </w:r>
    </w:p>
    <w:p w14:paraId="62C8CC4B" w14:textId="1B66DC87" w:rsidR="00511561" w:rsidRPr="00F37018" w:rsidRDefault="00CC2517" w:rsidP="00CC2517">
      <w:pPr>
        <w:pStyle w:val="Document"/>
        <w:rPr>
          <w:rFonts w:ascii="Times New Roman" w:hAnsi="Times New Roman"/>
        </w:rPr>
      </w:pPr>
      <w:r w:rsidRPr="00F37018">
        <w:rPr>
          <w:rFonts w:ascii="Times New Roman" w:hAnsi="Times New Roman"/>
        </w:rPr>
        <w:fldChar w:fldCharType="end"/>
      </w:r>
    </w:p>
    <w:p w14:paraId="3897026F" w14:textId="77777777" w:rsidR="00F37018" w:rsidRPr="00F37018" w:rsidRDefault="00F37018" w:rsidP="00CC2517">
      <w:pPr>
        <w:pStyle w:val="Document"/>
        <w:rPr>
          <w:rFonts w:ascii="Times New Roman" w:hAnsi="Times New Roman"/>
        </w:rPr>
      </w:pPr>
    </w:p>
    <w:p w14:paraId="3A9B44B4" w14:textId="77777777" w:rsidR="00F37018" w:rsidRPr="00F37018" w:rsidRDefault="00F37018" w:rsidP="00CC2517">
      <w:pPr>
        <w:pStyle w:val="Document"/>
        <w:rPr>
          <w:rFonts w:ascii="Times New Roman" w:hAnsi="Times New Roman"/>
        </w:rPr>
      </w:pPr>
    </w:p>
    <w:p w14:paraId="2B805C05" w14:textId="77777777" w:rsidR="00F37018" w:rsidRPr="00F37018" w:rsidRDefault="00F37018" w:rsidP="00CC2517">
      <w:pPr>
        <w:pStyle w:val="Document"/>
        <w:rPr>
          <w:rFonts w:ascii="Times New Roman" w:hAnsi="Times New Roman"/>
        </w:rPr>
      </w:pPr>
    </w:p>
    <w:p w14:paraId="5FEFCD98" w14:textId="66BCDE39" w:rsidR="00511561" w:rsidRPr="00F37018" w:rsidRDefault="00511561" w:rsidP="00B2682D">
      <w:pPr>
        <w:pStyle w:val="Head1"/>
        <w:rPr>
          <w:rFonts w:ascii="Times New Roman" w:hAnsi="Times New Roman"/>
        </w:rPr>
      </w:pPr>
      <w:bookmarkStart w:id="0" w:name="_Toc226031976"/>
      <w:r w:rsidRPr="00F37018">
        <w:rPr>
          <w:rFonts w:ascii="Times New Roman" w:hAnsi="Times New Roman"/>
        </w:rPr>
        <w:lastRenderedPageBreak/>
        <w:t>I.</w:t>
      </w:r>
      <w:r w:rsidRPr="00F37018">
        <w:rPr>
          <w:rFonts w:ascii="Times New Roman" w:hAnsi="Times New Roman"/>
        </w:rPr>
        <w:tab/>
        <w:t>Introduction</w:t>
      </w:r>
      <w:bookmarkEnd w:id="0"/>
    </w:p>
    <w:p w14:paraId="14C07E02" w14:textId="30D16E92" w:rsidR="00511561" w:rsidRPr="00F37018" w:rsidRDefault="00511561" w:rsidP="00B2682D">
      <w:pPr>
        <w:pStyle w:val="Document"/>
        <w:rPr>
          <w:rFonts w:ascii="Times New Roman" w:hAnsi="Times New Roman"/>
        </w:rPr>
      </w:pPr>
      <w:r w:rsidRPr="00F37018">
        <w:rPr>
          <w:rFonts w:ascii="Times New Roman" w:hAnsi="Times New Roman"/>
        </w:rPr>
        <w:t>On November 21, 2024, the International Criminal Court (“ICC”) issued international arrest warrants for two Israeli officials and a Hamas leader.</w:t>
      </w:r>
      <w:r w:rsidRPr="00F37018">
        <w:rPr>
          <w:rStyle w:val="NoteRefInText"/>
          <w:rFonts w:eastAsiaTheme="majorEastAsia"/>
        </w:rPr>
        <w:footnoteReference w:id="1"/>
      </w:r>
      <w:r w:rsidRPr="00F37018">
        <w:rPr>
          <w:rFonts w:ascii="Times New Roman" w:hAnsi="Times New Roman"/>
        </w:rPr>
        <w:t xml:space="preserve"> Over a year after the October 7th attack against Israel, ICC Prosecutor Karim Khan KC sought arrest warrants under the ICC’s war crimes and crimes against humanity jurisdictions.</w:t>
      </w:r>
      <w:r w:rsidRPr="00F37018">
        <w:rPr>
          <w:rStyle w:val="NoteRefInText"/>
          <w:rFonts w:eastAsiaTheme="majorEastAsia"/>
        </w:rPr>
        <w:footnoteReference w:id="2"/>
      </w:r>
      <w:r w:rsidRPr="00F37018">
        <w:rPr>
          <w:rFonts w:ascii="Times New Roman" w:hAnsi="Times New Roman"/>
        </w:rPr>
        <w:t xml:space="preserve"> This ICC action is not the first of its kind. “[I]n 2015, Palestine acceded to the Rome Statute as a state party to the ICC. On 22 May 2018, Palestine then self-referred ‘the situation in the State of Palestine,’” launching an ICC investigation into the matter.</w:t>
      </w:r>
      <w:r w:rsidRPr="00F37018">
        <w:rPr>
          <w:rStyle w:val="NoteRefInText"/>
          <w:rFonts w:eastAsiaTheme="majorEastAsia"/>
        </w:rPr>
        <w:footnoteReference w:id="3"/>
      </w:r>
      <w:r w:rsidRPr="00F37018">
        <w:rPr>
          <w:rFonts w:ascii="Times New Roman" w:hAnsi="Times New Roman"/>
        </w:rPr>
        <w:t xml:space="preserve"> The current proceedings and Israeli challenges against the ICC are inextricably linked to a jurisdictional struggle arising from Israel rejecting accession to the ICC.</w:t>
      </w:r>
      <w:r w:rsidRPr="00F37018">
        <w:rPr>
          <w:rStyle w:val="NoteRefInText"/>
          <w:rFonts w:eastAsiaTheme="majorEastAsia"/>
        </w:rPr>
        <w:footnoteReference w:id="4"/>
      </w:r>
      <w:r w:rsidRPr="00F37018">
        <w:rPr>
          <w:rFonts w:ascii="Times New Roman" w:hAnsi="Times New Roman"/>
        </w:rPr>
        <w:t xml:space="preserve"> For the ICC to proceed, however, “the 124 states parties to the Rome Statute are legally required to arrest the suspects.”</w:t>
      </w:r>
      <w:r w:rsidRPr="00F37018">
        <w:rPr>
          <w:rStyle w:val="NoteRefInText"/>
          <w:rFonts w:eastAsiaTheme="majorEastAsia"/>
        </w:rPr>
        <w:footnoteReference w:id="5"/>
      </w:r>
      <w:r w:rsidRPr="00F37018">
        <w:rPr>
          <w:rFonts w:ascii="Times New Roman" w:hAnsi="Times New Roman"/>
        </w:rPr>
        <w:t xml:space="preserve"> States Parties do not always adhere to this requirement, creating an enforcement concern for the ICC, one with which the ICC has previously reckoned.</w:t>
      </w:r>
    </w:p>
    <w:p w14:paraId="47DF6016" w14:textId="1289450F" w:rsidR="00511561" w:rsidRPr="00F37018" w:rsidRDefault="00511561" w:rsidP="00B2682D">
      <w:pPr>
        <w:pStyle w:val="Document"/>
        <w:rPr>
          <w:rFonts w:ascii="Times New Roman" w:hAnsi="Times New Roman"/>
        </w:rPr>
      </w:pPr>
      <w:r w:rsidRPr="00F37018">
        <w:rPr>
          <w:rFonts w:ascii="Times New Roman" w:hAnsi="Times New Roman"/>
        </w:rPr>
        <w:t>In late 2024, the ICC held Mongolia liable for failure to comply with an ICC arrest warrant for Vladimir Putin.</w:t>
      </w:r>
      <w:r w:rsidRPr="00F37018">
        <w:rPr>
          <w:rStyle w:val="NoteRefInText"/>
          <w:rFonts w:eastAsiaTheme="majorEastAsia"/>
        </w:rPr>
        <w:footnoteReference w:id="6"/>
      </w:r>
      <w:r w:rsidRPr="00F37018">
        <w:rPr>
          <w:rFonts w:ascii="Times New Roman" w:hAnsi="Times New Roman"/>
        </w:rPr>
        <w:t xml:space="preserve"> As punishment for that inaction, the ICC referred Mongolia to the Assembly of States Parties.</w:t>
      </w:r>
      <w:r w:rsidRPr="00F37018">
        <w:rPr>
          <w:rStyle w:val="NoteRefInText"/>
          <w:rFonts w:eastAsiaTheme="majorEastAsia"/>
        </w:rPr>
        <w:footnoteReference w:id="7"/>
      </w:r>
      <w:r w:rsidRPr="00F37018">
        <w:rPr>
          <w:rFonts w:ascii="Times New Roman" w:hAnsi="Times New Roman"/>
        </w:rPr>
        <w:t xml:space="preserve"> This referral, however, clues the keen eye into the ICC’s most grave and troubling issue: the ICC lacks any meaningfully coercive enforcement mechanism, relying on a regime of complementarity and “a ‘managerial model’ of compliance,” which proves to be “problematic when the relevant State has a limited motive for” cooperation.</w:t>
      </w:r>
      <w:r w:rsidRPr="00F37018">
        <w:rPr>
          <w:rStyle w:val="NoteRefInText"/>
          <w:rFonts w:eastAsiaTheme="majorEastAsia"/>
        </w:rPr>
        <w:footnoteReference w:id="8"/>
      </w:r>
      <w:r w:rsidRPr="00F37018">
        <w:rPr>
          <w:rFonts w:ascii="Times New Roman" w:hAnsi="Times New Roman"/>
        </w:rPr>
        <w:t xml:space="preserve"> Relying on other states for enforcement </w:t>
      </w:r>
      <w:r w:rsidRPr="00F37018">
        <w:rPr>
          <w:rFonts w:ascii="Times New Roman" w:hAnsi="Times New Roman"/>
        </w:rPr>
        <w:lastRenderedPageBreak/>
        <w:t>of its own judgments, the ICC cannot be said to have “enforcement power” as commonly understood under domestic law.</w:t>
      </w:r>
      <w:r w:rsidRPr="00F37018">
        <w:rPr>
          <w:rStyle w:val="NoteRefInText"/>
          <w:rFonts w:eastAsiaTheme="majorEastAsia"/>
        </w:rPr>
        <w:footnoteReference w:id="9"/>
      </w:r>
      <w:r w:rsidRPr="00F37018">
        <w:rPr>
          <w:rFonts w:ascii="Times New Roman" w:hAnsi="Times New Roman"/>
        </w:rPr>
        <w:t xml:space="preserve"> Without enforcement power, the ICC must rely on self-interested States Parties to function.</w:t>
      </w:r>
    </w:p>
    <w:p w14:paraId="1B98A0FB" w14:textId="2BA798D1" w:rsidR="00511561" w:rsidRPr="00F37018" w:rsidRDefault="00511561" w:rsidP="00B2682D">
      <w:pPr>
        <w:pStyle w:val="Document"/>
        <w:rPr>
          <w:rFonts w:ascii="Times New Roman" w:hAnsi="Times New Roman"/>
        </w:rPr>
      </w:pPr>
      <w:r w:rsidRPr="00F37018">
        <w:rPr>
          <w:rFonts w:ascii="Times New Roman" w:hAnsi="Times New Roman"/>
        </w:rPr>
        <w:t>This note argues that the ICC lacks meaningful mechanisms to enforce its judgments, exemplified by the inability to effectuate the arrest warrant for Israel’s Prime Minister, Benjamin Netanyahu. Further, this note analyzes complementarity regimes, like the ICC, that rely on treaty signatories for enforcement. That analysis concludes that such regimes must focus on principles of game theory, rather than on treaties like the Statute. Part II of this note provides the factual background of the arrest warrants issued by the ICC. Part III provides an overview of the Statute, the ICC’s “enforcement” of the Statute, and game theory principles that are applicable to this note’s analysis. Part IV argues that the ICC functions within the realm of game theory, highlights two competing schools of game theory thought, and analyzes the likely outcome of Netanyahu’s arrest warrant based on the prevailing school of thought. Part V concludes that, based on a self-interest driven view of game theory, Netanyahu is not likely to face arrest.</w:t>
      </w:r>
    </w:p>
    <w:p w14:paraId="7E429A16" w14:textId="230F4361" w:rsidR="00511561" w:rsidRPr="00F37018" w:rsidRDefault="00511561" w:rsidP="00B2682D">
      <w:pPr>
        <w:pStyle w:val="Head1"/>
        <w:rPr>
          <w:rFonts w:ascii="Times New Roman" w:hAnsi="Times New Roman"/>
        </w:rPr>
      </w:pPr>
      <w:bookmarkStart w:id="1" w:name="_Toc226031977"/>
      <w:r w:rsidRPr="00F37018">
        <w:rPr>
          <w:rFonts w:ascii="Times New Roman" w:hAnsi="Times New Roman"/>
        </w:rPr>
        <w:t>II.</w:t>
      </w:r>
      <w:r w:rsidRPr="00F37018">
        <w:rPr>
          <w:rFonts w:ascii="Times New Roman" w:hAnsi="Times New Roman"/>
        </w:rPr>
        <w:tab/>
        <w:t>Statement of the Case</w:t>
      </w:r>
      <w:bookmarkEnd w:id="1"/>
    </w:p>
    <w:p w14:paraId="5C1E4A42" w14:textId="6279B22C" w:rsidR="00511561" w:rsidRPr="00F37018" w:rsidRDefault="00511561" w:rsidP="00B2682D">
      <w:pPr>
        <w:pStyle w:val="Document"/>
        <w:rPr>
          <w:rFonts w:ascii="Times New Roman" w:hAnsi="Times New Roman"/>
        </w:rPr>
      </w:pPr>
      <w:r w:rsidRPr="00F37018">
        <w:rPr>
          <w:rFonts w:ascii="Times New Roman" w:hAnsi="Times New Roman"/>
        </w:rPr>
        <w:t>The October 7 attacks are the most recent escalation of a feud dating back to 1947, when Israel was established.</w:t>
      </w:r>
      <w:r w:rsidRPr="00F37018">
        <w:rPr>
          <w:rStyle w:val="NoteRefInText"/>
          <w:rFonts w:eastAsiaTheme="majorEastAsia"/>
        </w:rPr>
        <w:footnoteReference w:id="10"/>
      </w:r>
      <w:r w:rsidRPr="00F37018">
        <w:rPr>
          <w:rFonts w:ascii="Times New Roman" w:hAnsi="Times New Roman"/>
        </w:rPr>
        <w:t xml:space="preserve"> Israel’s establishment led to the first Arab-Israeli War in May of 1948.</w:t>
      </w:r>
      <w:r w:rsidRPr="00F37018">
        <w:rPr>
          <w:rStyle w:val="NoteRefInText"/>
          <w:rFonts w:eastAsiaTheme="majorEastAsia"/>
        </w:rPr>
        <w:footnoteReference w:id="11"/>
      </w:r>
      <w:r w:rsidRPr="00F37018">
        <w:rPr>
          <w:rFonts w:ascii="Times New Roman" w:hAnsi="Times New Roman"/>
        </w:rPr>
        <w:t xml:space="preserve"> In the late twentieth century, acts of genocide and war crimes throughout the world led to the signing of the Rome Statute in July of 1998, which established the ICC.</w:t>
      </w:r>
      <w:r w:rsidRPr="00F37018">
        <w:rPr>
          <w:rStyle w:val="NoteRefInText"/>
          <w:rFonts w:eastAsiaTheme="majorEastAsia"/>
        </w:rPr>
        <w:footnoteReference w:id="12"/>
      </w:r>
      <w:r w:rsidRPr="00F37018">
        <w:rPr>
          <w:rFonts w:ascii="Times New Roman" w:hAnsi="Times New Roman"/>
        </w:rPr>
        <w:t xml:space="preserve"> The Rome Statute authorizes the ICC to exercise jurisdiction over “[t]he crime of genocide; [c]rimes against humanity; [w]ar crimes; [and t]he crime of </w:t>
      </w:r>
      <w:r w:rsidRPr="00F37018">
        <w:rPr>
          <w:rFonts w:ascii="Times New Roman" w:hAnsi="Times New Roman"/>
        </w:rPr>
        <w:lastRenderedPageBreak/>
        <w:t>aggression.”</w:t>
      </w:r>
      <w:r w:rsidRPr="00F37018">
        <w:rPr>
          <w:rStyle w:val="NoteRefInText"/>
          <w:rFonts w:eastAsiaTheme="majorEastAsia"/>
        </w:rPr>
        <w:footnoteReference w:id="13"/>
      </w:r>
      <w:r w:rsidRPr="00F37018">
        <w:rPr>
          <w:rFonts w:ascii="Times New Roman" w:hAnsi="Times New Roman"/>
        </w:rPr>
        <w:t xml:space="preserve"> The exercise of this jurisdiction includes the issuance of international arrest warrants.</w:t>
      </w:r>
      <w:r w:rsidRPr="00F37018">
        <w:rPr>
          <w:rStyle w:val="NoteRefInText"/>
          <w:rFonts w:eastAsiaTheme="majorEastAsia"/>
        </w:rPr>
        <w:footnoteReference w:id="14"/>
      </w:r>
    </w:p>
    <w:p w14:paraId="1113A105" w14:textId="2244F821" w:rsidR="00511561" w:rsidRPr="00F37018" w:rsidRDefault="009A7D11" w:rsidP="00B2682D">
      <w:pPr>
        <w:pStyle w:val="Head2"/>
        <w:rPr>
          <w:rFonts w:ascii="Times New Roman" w:hAnsi="Times New Roman"/>
        </w:rPr>
      </w:pPr>
      <w:bookmarkStart w:id="2" w:name="_Toc226031978"/>
      <w:r>
        <w:rPr>
          <w:rFonts w:ascii="Times New Roman" w:hAnsi="Times New Roman"/>
        </w:rPr>
        <w:t>A</w:t>
      </w:r>
      <w:r w:rsidR="00511561" w:rsidRPr="00F37018">
        <w:rPr>
          <w:rFonts w:ascii="Times New Roman" w:hAnsi="Times New Roman"/>
        </w:rPr>
        <w:t>.</w:t>
      </w:r>
      <w:r w:rsidR="00511561" w:rsidRPr="00F37018">
        <w:rPr>
          <w:rFonts w:ascii="Times New Roman" w:hAnsi="Times New Roman"/>
        </w:rPr>
        <w:tab/>
        <w:t>The Israel-Palestine Conflict, in its Current Form</w:t>
      </w:r>
      <w:bookmarkEnd w:id="2"/>
    </w:p>
    <w:p w14:paraId="3914E487" w14:textId="58D2F9D2" w:rsidR="00511561" w:rsidRPr="00F37018" w:rsidRDefault="00511561" w:rsidP="00B2682D">
      <w:pPr>
        <w:pStyle w:val="Document"/>
        <w:rPr>
          <w:rFonts w:ascii="Times New Roman" w:hAnsi="Times New Roman"/>
        </w:rPr>
      </w:pPr>
      <w:r w:rsidRPr="00F37018">
        <w:rPr>
          <w:rFonts w:ascii="Times New Roman" w:hAnsi="Times New Roman"/>
        </w:rPr>
        <w:t>The current conflict between Israel and Palestine began with indiscriminate rocket barrages, devastating southern Israel.</w:t>
      </w:r>
      <w:r w:rsidRPr="00F37018">
        <w:rPr>
          <w:rStyle w:val="NoteRefInText"/>
          <w:rFonts w:eastAsiaTheme="majorEastAsia"/>
        </w:rPr>
        <w:footnoteReference w:id="15"/>
      </w:r>
      <w:r w:rsidRPr="00F37018">
        <w:rPr>
          <w:rFonts w:ascii="Times New Roman" w:hAnsi="Times New Roman"/>
        </w:rPr>
        <w:t xml:space="preserve"> Within hours, nineteen </w:t>
      </w:r>
      <w:r w:rsidRPr="00F37018">
        <w:rPr>
          <w:rFonts w:ascii="Times New Roman" w:hAnsi="Times New Roman"/>
          <w:i/>
          <w:iCs/>
        </w:rPr>
        <w:t>kibbutzim</w:t>
      </w:r>
      <w:r w:rsidRPr="00F37018">
        <w:rPr>
          <w:rFonts w:ascii="Times New Roman" w:hAnsi="Times New Roman"/>
        </w:rPr>
        <w:t xml:space="preserve">, five </w:t>
      </w:r>
      <w:r w:rsidRPr="00F37018">
        <w:rPr>
          <w:rFonts w:ascii="Times New Roman" w:hAnsi="Times New Roman"/>
          <w:i/>
          <w:iCs/>
        </w:rPr>
        <w:t>moshavim</w:t>
      </w:r>
      <w:r w:rsidRPr="00F37018">
        <w:rPr>
          <w:rFonts w:ascii="Times New Roman" w:hAnsi="Times New Roman"/>
        </w:rPr>
        <w:t>, two music festivals, a beach party, and the cities of Sderot and Ofakim were attacked.</w:t>
      </w:r>
      <w:r w:rsidRPr="00F37018">
        <w:rPr>
          <w:rStyle w:val="NoteRefInText"/>
          <w:rFonts w:eastAsiaTheme="majorEastAsia"/>
        </w:rPr>
        <w:footnoteReference w:id="16"/>
      </w:r>
      <w:r w:rsidRPr="00F37018">
        <w:rPr>
          <w:rFonts w:ascii="Times New Roman" w:hAnsi="Times New Roman"/>
        </w:rPr>
        <w:t xml:space="preserve"> Hostages were taken, and civilians were killed.</w:t>
      </w:r>
      <w:r w:rsidRPr="00F37018">
        <w:rPr>
          <w:rStyle w:val="NoteRefInText"/>
          <w:rFonts w:eastAsiaTheme="majorEastAsia"/>
        </w:rPr>
        <w:footnoteReference w:id="17"/>
      </w:r>
      <w:r w:rsidRPr="00F37018">
        <w:rPr>
          <w:rFonts w:ascii="Times New Roman" w:hAnsi="Times New Roman"/>
        </w:rPr>
        <w:t xml:space="preserve"> In the chaos, reports of death and destruction swirled; “some minimized the extent of the abuses, while others included allegations of abuses that were later proven incorrect.”</w:t>
      </w:r>
      <w:r w:rsidRPr="00F37018">
        <w:rPr>
          <w:rStyle w:val="NoteRefInText"/>
          <w:rFonts w:eastAsiaTheme="majorEastAsia"/>
        </w:rPr>
        <w:footnoteReference w:id="18"/>
      </w:r>
      <w:r w:rsidRPr="00F37018">
        <w:rPr>
          <w:rFonts w:ascii="Times New Roman" w:hAnsi="Times New Roman"/>
        </w:rPr>
        <w:t xml:space="preserve"> Although a majority of the October 7 victims were Jewish Israelis, many were not.</w:t>
      </w:r>
      <w:r w:rsidRPr="00F37018">
        <w:rPr>
          <w:rStyle w:val="NoteRefInText"/>
          <w:rFonts w:eastAsiaTheme="majorEastAsia"/>
        </w:rPr>
        <w:footnoteReference w:id="19"/>
      </w:r>
      <w:r w:rsidRPr="00F37018">
        <w:rPr>
          <w:rFonts w:ascii="Times New Roman" w:hAnsi="Times New Roman"/>
        </w:rPr>
        <w:t xml:space="preserve"> “[F]ighters also killed, wounded, or took hostage Israeli dual nationals, Palestinian citizens of Israel, Palestinians from Gaza, foreign workers, including Chinese, Filipino, Nepali, Sri Lankan and Thai nationals, and at least one national from” eight different countries.</w:t>
      </w:r>
      <w:r w:rsidRPr="00F37018">
        <w:rPr>
          <w:rStyle w:val="NoteRefInText"/>
          <w:rFonts w:eastAsiaTheme="majorEastAsia"/>
        </w:rPr>
        <w:footnoteReference w:id="20"/>
      </w:r>
      <w:r w:rsidRPr="00F37018">
        <w:rPr>
          <w:rFonts w:ascii="Times New Roman" w:hAnsi="Times New Roman"/>
        </w:rPr>
        <w:t xml:space="preserve"> Hamas claimed responsibility for the devastation, stating that the al-Qassam Brigades led the October 7 assault.</w:t>
      </w:r>
      <w:r w:rsidRPr="00F37018">
        <w:rPr>
          <w:rStyle w:val="NoteRefInText"/>
          <w:rFonts w:eastAsiaTheme="majorEastAsia"/>
        </w:rPr>
        <w:footnoteReference w:id="21"/>
      </w:r>
    </w:p>
    <w:p w14:paraId="718FF338" w14:textId="7D509E5F" w:rsidR="00511561" w:rsidRPr="00F37018" w:rsidRDefault="00511561" w:rsidP="00B2682D">
      <w:pPr>
        <w:pStyle w:val="Document"/>
        <w:rPr>
          <w:rFonts w:ascii="Times New Roman" w:hAnsi="Times New Roman"/>
        </w:rPr>
      </w:pPr>
      <w:r w:rsidRPr="00F37018">
        <w:rPr>
          <w:rFonts w:ascii="Times New Roman" w:hAnsi="Times New Roman"/>
        </w:rPr>
        <w:t>The Israeli government responded with a military offensive against Palestinian armed groups, including Hamas, consisting of a bombing campaign and a ground attack on Gaza.</w:t>
      </w:r>
      <w:r w:rsidRPr="00F37018">
        <w:rPr>
          <w:rStyle w:val="NoteRefInText"/>
          <w:rFonts w:eastAsiaTheme="majorEastAsia"/>
        </w:rPr>
        <w:footnoteReference w:id="22"/>
      </w:r>
      <w:r w:rsidRPr="00F37018">
        <w:rPr>
          <w:rFonts w:ascii="Times New Roman" w:hAnsi="Times New Roman"/>
        </w:rPr>
        <w:t xml:space="preserve"> These attacks allegedly included “unlawful airstrikes and destruction of civilian infrastructure and housing, a tight blockade of Gaza that has led to a humanitarian catastrophe and amounts to collective punishment of </w:t>
      </w:r>
      <w:r w:rsidRPr="00F37018">
        <w:rPr>
          <w:rFonts w:ascii="Times New Roman" w:hAnsi="Times New Roman"/>
        </w:rPr>
        <w:lastRenderedPageBreak/>
        <w:t>the civilian population, and the use of starvation as a weapon of war.”</w:t>
      </w:r>
      <w:r w:rsidRPr="00F37018">
        <w:rPr>
          <w:rStyle w:val="NoteRefInText"/>
          <w:rFonts w:eastAsiaTheme="majorEastAsia"/>
        </w:rPr>
        <w:footnoteReference w:id="23"/>
      </w:r>
      <w:r w:rsidRPr="00F37018">
        <w:rPr>
          <w:rFonts w:ascii="Times New Roman" w:hAnsi="Times New Roman"/>
        </w:rPr>
        <w:t xml:space="preserve"> As bombings and attacks grew across Palestinian territory, the Israeli government began evacuation efforts of Palestinian civilians in Gaza.</w:t>
      </w:r>
      <w:r w:rsidRPr="00F37018">
        <w:rPr>
          <w:rStyle w:val="NoteRefInText"/>
          <w:rFonts w:eastAsiaTheme="majorEastAsia"/>
        </w:rPr>
        <w:footnoteReference w:id="24"/>
      </w:r>
      <w:r w:rsidRPr="00F37018">
        <w:rPr>
          <w:rFonts w:ascii="Times New Roman" w:hAnsi="Times New Roman"/>
        </w:rPr>
        <w:t xml:space="preserve"> But these evacuation efforts, according to Human Rights Watch, were not done for the safety of Palestinians.</w:t>
      </w:r>
      <w:r w:rsidRPr="00F37018">
        <w:rPr>
          <w:rStyle w:val="NoteRefInText"/>
          <w:rFonts w:eastAsiaTheme="majorEastAsia"/>
        </w:rPr>
        <w:footnoteReference w:id="25"/>
      </w:r>
      <w:r w:rsidRPr="00F37018">
        <w:rPr>
          <w:rFonts w:ascii="Times New Roman" w:hAnsi="Times New Roman"/>
        </w:rPr>
        <w:t xml:space="preserve"> Though Israel claimed “that it had a military imperative for forcing most Palestinian civilians from their homes,” this assertion has been difficult to prove.</w:t>
      </w:r>
      <w:r w:rsidRPr="00F37018">
        <w:rPr>
          <w:rStyle w:val="NoteRefInText"/>
          <w:rFonts w:eastAsiaTheme="majorEastAsia"/>
        </w:rPr>
        <w:footnoteReference w:id="26"/>
      </w:r>
    </w:p>
    <w:p w14:paraId="3A72A5ED" w14:textId="6B414485" w:rsidR="00511561" w:rsidRPr="00F37018" w:rsidRDefault="009A7D11" w:rsidP="00B2682D">
      <w:pPr>
        <w:pStyle w:val="Head2"/>
        <w:rPr>
          <w:rFonts w:ascii="Times New Roman" w:hAnsi="Times New Roman"/>
        </w:rPr>
      </w:pPr>
      <w:bookmarkStart w:id="3" w:name="_Toc226031979"/>
      <w:r>
        <w:rPr>
          <w:rFonts w:ascii="Times New Roman" w:hAnsi="Times New Roman"/>
        </w:rPr>
        <w:t>B</w:t>
      </w:r>
      <w:r w:rsidR="00511561" w:rsidRPr="00F37018">
        <w:rPr>
          <w:rFonts w:ascii="Times New Roman" w:hAnsi="Times New Roman"/>
        </w:rPr>
        <w:t>.</w:t>
      </w:r>
      <w:r w:rsidR="00511561" w:rsidRPr="00F37018">
        <w:rPr>
          <w:rFonts w:ascii="Times New Roman" w:hAnsi="Times New Roman"/>
        </w:rPr>
        <w:tab/>
        <w:t>The Alleged War Crimes and Crimes Against Humanity of Palestine and Israel, Respectively</w:t>
      </w:r>
      <w:bookmarkEnd w:id="3"/>
    </w:p>
    <w:p w14:paraId="5B54553B" w14:textId="5A3DE2E2" w:rsidR="00511561" w:rsidRPr="00F37018" w:rsidRDefault="00511561" w:rsidP="00B2682D">
      <w:pPr>
        <w:pStyle w:val="Document"/>
        <w:rPr>
          <w:rFonts w:ascii="Times New Roman" w:hAnsi="Times New Roman"/>
        </w:rPr>
      </w:pPr>
      <w:r w:rsidRPr="00F37018">
        <w:rPr>
          <w:rFonts w:ascii="Times New Roman" w:hAnsi="Times New Roman"/>
        </w:rPr>
        <w:t>Both Israel and Palestine have had allegations of war crimes and crimes against humanity levied against them.</w:t>
      </w:r>
      <w:r w:rsidRPr="00F37018">
        <w:rPr>
          <w:rStyle w:val="NoteRefInText"/>
          <w:rFonts w:eastAsiaTheme="majorEastAsia"/>
        </w:rPr>
        <w:footnoteReference w:id="27"/>
      </w:r>
      <w:r w:rsidRPr="00F37018">
        <w:rPr>
          <w:rFonts w:ascii="Times New Roman" w:hAnsi="Times New Roman"/>
        </w:rPr>
        <w:t xml:space="preserve"> In the arena of international law, and specifically the law of armed combat, “[t]he foremost principle . . . is that parties to a conflict must distinguish at all times between combatants and civilians.”</w:t>
      </w:r>
      <w:r w:rsidRPr="00F37018">
        <w:rPr>
          <w:rStyle w:val="NoteRefInText"/>
          <w:rFonts w:eastAsiaTheme="majorEastAsia"/>
        </w:rPr>
        <w:footnoteReference w:id="28"/>
      </w:r>
      <w:r w:rsidRPr="00F37018">
        <w:rPr>
          <w:rFonts w:ascii="Times New Roman" w:hAnsi="Times New Roman"/>
        </w:rPr>
        <w:t xml:space="preserve"> Non-state fighters, like Hamas’s al-Qassam Brigades are considered combatants for the purposes of determining war crimes and crimes against humanity.</w:t>
      </w:r>
      <w:r w:rsidRPr="00F37018">
        <w:rPr>
          <w:rStyle w:val="NoteRefInText"/>
          <w:rFonts w:eastAsiaTheme="majorEastAsia"/>
        </w:rPr>
        <w:footnoteReference w:id="29"/>
      </w:r>
      <w:r w:rsidRPr="00F37018">
        <w:rPr>
          <w:rFonts w:ascii="Times New Roman" w:hAnsi="Times New Roman"/>
        </w:rPr>
        <w:t xml:space="preserve"> If an attack is made against civilians, negligently or intentionally, then the Statute, which defines war crimes and crimes against humanity, has likely been violated.</w:t>
      </w:r>
      <w:r w:rsidRPr="00F37018">
        <w:rPr>
          <w:rStyle w:val="NoteRefInText"/>
          <w:rFonts w:eastAsiaTheme="majorEastAsia"/>
        </w:rPr>
        <w:footnoteReference w:id="30"/>
      </w:r>
    </w:p>
    <w:p w14:paraId="4D5693FF" w14:textId="7B8D7063" w:rsidR="00511561" w:rsidRPr="00F37018" w:rsidRDefault="00511561" w:rsidP="00B2682D">
      <w:pPr>
        <w:pStyle w:val="Document"/>
        <w:rPr>
          <w:rFonts w:ascii="Times New Roman" w:hAnsi="Times New Roman"/>
        </w:rPr>
      </w:pPr>
      <w:r w:rsidRPr="00F37018">
        <w:rPr>
          <w:rFonts w:ascii="Times New Roman" w:hAnsi="Times New Roman"/>
        </w:rPr>
        <w:t>Human Rights Watch found that the October 7 attack was “organized and planned well in advance,” and that “consistent patterns of behavior of the fighters . . . also indicated a high degree of planning and organization.”</w:t>
      </w:r>
      <w:r w:rsidRPr="00F37018">
        <w:rPr>
          <w:rStyle w:val="NoteRefInText"/>
          <w:rFonts w:eastAsiaTheme="majorEastAsia"/>
        </w:rPr>
        <w:footnoteReference w:id="31"/>
      </w:r>
      <w:r w:rsidRPr="00F37018">
        <w:rPr>
          <w:rFonts w:ascii="Times New Roman" w:hAnsi="Times New Roman"/>
        </w:rPr>
        <w:t xml:space="preserve"> The report revealed that “Palestinian fighters repeatedly attacked civilians and summarily executed individuals in their custody.”</w:t>
      </w:r>
      <w:r w:rsidRPr="00F37018">
        <w:rPr>
          <w:rStyle w:val="NoteRefInText"/>
          <w:rFonts w:eastAsiaTheme="majorEastAsia"/>
        </w:rPr>
        <w:footnoteReference w:id="32"/>
      </w:r>
      <w:r w:rsidRPr="00F37018">
        <w:rPr>
          <w:rFonts w:ascii="Times New Roman" w:hAnsi="Times New Roman"/>
        </w:rPr>
        <w:t xml:space="preserve"> Palestinian fighters also took hostages, “dragging[ed a hostage] by the hair,” struck hostages with the butts of rifles, and kicked hostages in the head.</w:t>
      </w:r>
      <w:r w:rsidRPr="00F37018">
        <w:rPr>
          <w:rStyle w:val="NoteRefInText"/>
          <w:rFonts w:eastAsiaTheme="majorEastAsia"/>
        </w:rPr>
        <w:footnoteReference w:id="33"/>
      </w:r>
      <w:r w:rsidRPr="00F37018">
        <w:rPr>
          <w:rFonts w:ascii="Times New Roman" w:hAnsi="Times New Roman"/>
        </w:rPr>
        <w:t xml:space="preserve"> An independent UN commission additionally “documented cases </w:t>
      </w:r>
      <w:r w:rsidRPr="00F37018">
        <w:rPr>
          <w:rFonts w:ascii="Times New Roman" w:hAnsi="Times New Roman"/>
        </w:rPr>
        <w:lastRenderedPageBreak/>
        <w:t>indicative of sexual violence perpetrated against women and men” throughout the Israeli areas affected by the attack.</w:t>
      </w:r>
      <w:r w:rsidRPr="00F37018">
        <w:rPr>
          <w:rStyle w:val="NoteRefInText"/>
          <w:rFonts w:eastAsiaTheme="majorEastAsia"/>
        </w:rPr>
        <w:footnoteReference w:id="34"/>
      </w:r>
      <w:r w:rsidRPr="00F37018">
        <w:rPr>
          <w:rFonts w:ascii="Times New Roman" w:hAnsi="Times New Roman"/>
        </w:rPr>
        <w:t xml:space="preserve"> The Israeli response to these attacks, however, has also allegedly violated international humanitarian law.</w:t>
      </w:r>
    </w:p>
    <w:p w14:paraId="0D787621" w14:textId="28735511" w:rsidR="00511561" w:rsidRPr="00F37018" w:rsidRDefault="00511561" w:rsidP="00B2682D">
      <w:pPr>
        <w:pStyle w:val="Document"/>
        <w:rPr>
          <w:rFonts w:ascii="Times New Roman" w:hAnsi="Times New Roman"/>
        </w:rPr>
      </w:pPr>
      <w:r w:rsidRPr="00F37018">
        <w:rPr>
          <w:rFonts w:ascii="Times New Roman" w:hAnsi="Times New Roman"/>
        </w:rPr>
        <w:t>Human Rights Watch found multiple violations of international humanitarian law within Israel’s response to the October 7 attack.</w:t>
      </w:r>
      <w:r w:rsidRPr="00F37018">
        <w:rPr>
          <w:rStyle w:val="NoteRefInText"/>
          <w:rFonts w:eastAsiaTheme="majorEastAsia"/>
        </w:rPr>
        <w:footnoteReference w:id="35"/>
      </w:r>
      <w:r w:rsidRPr="00F37018">
        <w:rPr>
          <w:rFonts w:ascii="Times New Roman" w:hAnsi="Times New Roman"/>
        </w:rPr>
        <w:t xml:space="preserve"> Israel is, in Human Rights Watch’s words, the occupying power of Gaza, which places a burden on Israel to prove the legality of its actions.</w:t>
      </w:r>
      <w:r w:rsidRPr="00F37018">
        <w:rPr>
          <w:rStyle w:val="NoteRefInText"/>
          <w:rFonts w:eastAsiaTheme="majorEastAsia"/>
        </w:rPr>
        <w:footnoteReference w:id="36"/>
      </w:r>
      <w:r w:rsidRPr="00F37018">
        <w:rPr>
          <w:rFonts w:ascii="Times New Roman" w:hAnsi="Times New Roman"/>
        </w:rPr>
        <w:t xml:space="preserve"> As such, Israel’s displacement of Palestinian civilians must be justified.</w:t>
      </w:r>
      <w:r w:rsidRPr="00F37018">
        <w:rPr>
          <w:rStyle w:val="NoteRefInText"/>
          <w:rFonts w:eastAsiaTheme="majorEastAsia"/>
        </w:rPr>
        <w:footnoteReference w:id="37"/>
      </w:r>
      <w:r w:rsidRPr="00F37018">
        <w:rPr>
          <w:rFonts w:ascii="Times New Roman" w:hAnsi="Times New Roman"/>
        </w:rPr>
        <w:t xml:space="preserve"> Accordingly, Israel’s “[d]isplacement can only be justified if it is a measure of last resort for military operation where there are no feasible alternatives.”</w:t>
      </w:r>
      <w:r w:rsidRPr="00F37018">
        <w:rPr>
          <w:rStyle w:val="NoteRefInText"/>
          <w:rFonts w:eastAsiaTheme="majorEastAsia"/>
        </w:rPr>
        <w:footnoteReference w:id="38"/>
      </w:r>
      <w:r w:rsidRPr="00F37018">
        <w:rPr>
          <w:rFonts w:ascii="Times New Roman" w:hAnsi="Times New Roman"/>
        </w:rPr>
        <w:t xml:space="preserve"> Israel could not demonstrate a lack of feasible alternatives.</w:t>
      </w:r>
      <w:r w:rsidRPr="00F37018">
        <w:rPr>
          <w:rStyle w:val="NoteRefInText"/>
          <w:rFonts w:eastAsiaTheme="majorEastAsia"/>
        </w:rPr>
        <w:footnoteReference w:id="39"/>
      </w:r>
      <w:r w:rsidRPr="00F37018">
        <w:rPr>
          <w:rFonts w:ascii="Times New Roman" w:hAnsi="Times New Roman"/>
        </w:rPr>
        <w:t xml:space="preserve"> According to the report, Israel’s failure to ensure civilians’ safety during the displacement created “widespread fear and confusion, misery, and anxiety.”</w:t>
      </w:r>
      <w:r w:rsidRPr="00F37018">
        <w:rPr>
          <w:rStyle w:val="NoteRefInText"/>
          <w:rFonts w:eastAsiaTheme="majorEastAsia"/>
        </w:rPr>
        <w:footnoteReference w:id="40"/>
      </w:r>
      <w:r w:rsidRPr="00F37018">
        <w:rPr>
          <w:rFonts w:ascii="Times New Roman" w:hAnsi="Times New Roman"/>
        </w:rPr>
        <w:t xml:space="preserve"> When civilians were moved from combat zones, Israeli forces repeatedly attacked designated evacuation areas.</w:t>
      </w:r>
      <w:r w:rsidRPr="00F37018">
        <w:rPr>
          <w:rStyle w:val="NoteRefInText"/>
          <w:rFonts w:eastAsiaTheme="majorEastAsia"/>
        </w:rPr>
        <w:footnoteReference w:id="41"/>
      </w:r>
      <w:r w:rsidRPr="00F37018">
        <w:rPr>
          <w:rFonts w:ascii="Times New Roman" w:hAnsi="Times New Roman"/>
        </w:rPr>
        <w:t xml:space="preserve"> “Ultimately, no destination within Gaza was safe.”</w:t>
      </w:r>
      <w:r w:rsidRPr="00F37018">
        <w:rPr>
          <w:rStyle w:val="NoteRefInText"/>
          <w:rFonts w:eastAsiaTheme="majorEastAsia"/>
        </w:rPr>
        <w:footnoteReference w:id="42"/>
      </w:r>
      <w:r w:rsidRPr="00F37018">
        <w:rPr>
          <w:rFonts w:ascii="Times New Roman" w:hAnsi="Times New Roman"/>
        </w:rPr>
        <w:t xml:space="preserve"> And, Israel damaged and destroyed critical humanitarian aid and civilian infrastructure, making Gaza uninhabitable.</w:t>
      </w:r>
      <w:r w:rsidRPr="00F37018">
        <w:rPr>
          <w:rStyle w:val="NoteRefInText"/>
          <w:rFonts w:eastAsiaTheme="majorEastAsia"/>
        </w:rPr>
        <w:footnoteReference w:id="43"/>
      </w:r>
      <w:r w:rsidRPr="00F37018">
        <w:rPr>
          <w:rFonts w:ascii="Times New Roman" w:hAnsi="Times New Roman"/>
        </w:rPr>
        <w:t xml:space="preserve"> These actions “permanently change[d] the land of Gaza . . . and demonstrate[d] an intention to prevent Palestinian civilians in Gaza from returning once hostilities have ended.”</w:t>
      </w:r>
      <w:r w:rsidRPr="00F37018">
        <w:rPr>
          <w:rStyle w:val="NoteRefInText"/>
          <w:rFonts w:eastAsiaTheme="majorEastAsia"/>
        </w:rPr>
        <w:footnoteReference w:id="44"/>
      </w:r>
      <w:r w:rsidRPr="00F37018">
        <w:rPr>
          <w:rFonts w:ascii="Times New Roman" w:hAnsi="Times New Roman"/>
        </w:rPr>
        <w:t xml:space="preserve"> The Human Rights Watch report also accuses Israel of crimes against humanity for the forced displacement and ethnic cleansing of Palestinians.</w:t>
      </w:r>
      <w:r w:rsidRPr="00F37018">
        <w:rPr>
          <w:rStyle w:val="NoteRefInText"/>
          <w:rFonts w:eastAsiaTheme="majorEastAsia"/>
        </w:rPr>
        <w:footnoteReference w:id="45"/>
      </w:r>
      <w:r w:rsidRPr="00F37018">
        <w:rPr>
          <w:rFonts w:ascii="Times New Roman" w:hAnsi="Times New Roman"/>
        </w:rPr>
        <w:t xml:space="preserve"> Underlying the accusation of ethnic cleansing is “[t]he intention of Israeli forces </w:t>
      </w:r>
      <w:r w:rsidRPr="00F37018">
        <w:rPr>
          <w:rFonts w:ascii="Times New Roman" w:hAnsi="Times New Roman"/>
        </w:rPr>
        <w:lastRenderedPageBreak/>
        <w:t>appear[ing] likely to ensure they remain permanently emptied and cleansed of Palestinians and, in their place, occupied and controlled by Israeli forces.”</w:t>
      </w:r>
      <w:r w:rsidRPr="00F37018">
        <w:rPr>
          <w:rStyle w:val="NoteRefInText"/>
          <w:rFonts w:eastAsiaTheme="majorEastAsia"/>
        </w:rPr>
        <w:footnoteReference w:id="46"/>
      </w:r>
      <w:r w:rsidRPr="00F37018">
        <w:rPr>
          <w:rFonts w:ascii="Times New Roman" w:hAnsi="Times New Roman"/>
        </w:rPr>
        <w:t xml:space="preserve"> Based on allegations, like those found in the Human Rights Watch report, the ICC issued arrest warrants for Netanyahu, Former Israeli Minister of Defense Yoav Gallant, and Commander Mohammed Deif.</w:t>
      </w:r>
      <w:r w:rsidRPr="00F37018">
        <w:rPr>
          <w:rStyle w:val="NoteRefInText"/>
          <w:rFonts w:eastAsiaTheme="majorEastAsia"/>
        </w:rPr>
        <w:footnoteReference w:id="47"/>
      </w:r>
    </w:p>
    <w:p w14:paraId="61589751" w14:textId="783178D7" w:rsidR="00511561" w:rsidRPr="00F37018" w:rsidRDefault="009A7D11" w:rsidP="00B2682D">
      <w:pPr>
        <w:pStyle w:val="Head2"/>
        <w:rPr>
          <w:rFonts w:ascii="Times New Roman" w:hAnsi="Times New Roman"/>
        </w:rPr>
      </w:pPr>
      <w:bookmarkStart w:id="4" w:name="_Toc226031980"/>
      <w:r>
        <w:rPr>
          <w:rFonts w:ascii="Times New Roman" w:hAnsi="Times New Roman"/>
        </w:rPr>
        <w:t>C</w:t>
      </w:r>
      <w:r w:rsidR="00511561" w:rsidRPr="00F37018">
        <w:rPr>
          <w:rFonts w:ascii="Times New Roman" w:hAnsi="Times New Roman"/>
        </w:rPr>
        <w:t>.</w:t>
      </w:r>
      <w:r w:rsidR="00511561" w:rsidRPr="00F37018">
        <w:rPr>
          <w:rFonts w:ascii="Times New Roman" w:hAnsi="Times New Roman"/>
        </w:rPr>
        <w:tab/>
        <w:t>The ICC’s Arrest Warrants Following the Current Israel-Palestine Conflict</w:t>
      </w:r>
      <w:bookmarkEnd w:id="4"/>
    </w:p>
    <w:p w14:paraId="1EB1FBA2" w14:textId="72E2A020" w:rsidR="00511561" w:rsidRPr="00F37018" w:rsidRDefault="00511561" w:rsidP="00B2682D">
      <w:pPr>
        <w:pStyle w:val="Document"/>
        <w:rPr>
          <w:rFonts w:ascii="Times New Roman" w:hAnsi="Times New Roman"/>
        </w:rPr>
      </w:pPr>
      <w:r w:rsidRPr="00F37018">
        <w:rPr>
          <w:rFonts w:ascii="Times New Roman" w:hAnsi="Times New Roman"/>
        </w:rPr>
        <w:t>The ICC, in late 2024, “found reasonable grounds to believe that Mr Deif . . . is responsible for” multiple crimes against humanity and war crimes.</w:t>
      </w:r>
      <w:r w:rsidRPr="00F37018">
        <w:rPr>
          <w:rStyle w:val="NoteRefInText"/>
          <w:rFonts w:eastAsiaTheme="majorEastAsia"/>
        </w:rPr>
        <w:footnoteReference w:id="48"/>
      </w:r>
      <w:r w:rsidRPr="00F37018">
        <w:rPr>
          <w:rFonts w:ascii="Times New Roman" w:hAnsi="Times New Roman"/>
        </w:rPr>
        <w:t xml:space="preserve"> The alleged crimes against humanity were murder, extermination, torture, rape, and sexual violence.</w:t>
      </w:r>
      <w:r w:rsidRPr="00F37018">
        <w:rPr>
          <w:rStyle w:val="NoteRefInText"/>
          <w:rFonts w:eastAsiaTheme="majorEastAsia"/>
        </w:rPr>
        <w:footnoteReference w:id="49"/>
      </w:r>
      <w:r w:rsidRPr="00F37018">
        <w:rPr>
          <w:rFonts w:ascii="Times New Roman" w:hAnsi="Times New Roman"/>
        </w:rPr>
        <w:t xml:space="preserve"> The war crimes were murder, cruel treatment, torture, taking hostages, outrages on personal dignity, rape, and sexual violence.</w:t>
      </w:r>
      <w:r w:rsidRPr="00F37018">
        <w:rPr>
          <w:rStyle w:val="NoteRefInText"/>
          <w:rFonts w:eastAsiaTheme="majorEastAsia"/>
        </w:rPr>
        <w:footnoteReference w:id="50"/>
      </w:r>
      <w:r w:rsidRPr="00F37018">
        <w:rPr>
          <w:rFonts w:ascii="Times New Roman" w:hAnsi="Times New Roman"/>
        </w:rPr>
        <w:t xml:space="preserve"> On the same day, the ICC issued arrest warrants for Netanyahu and Gallant.</w:t>
      </w:r>
      <w:r w:rsidRPr="00F37018">
        <w:rPr>
          <w:rStyle w:val="NoteRefInText"/>
          <w:rFonts w:eastAsiaTheme="majorEastAsia"/>
        </w:rPr>
        <w:footnoteReference w:id="51"/>
      </w:r>
      <w:r w:rsidRPr="00F37018">
        <w:rPr>
          <w:rFonts w:ascii="Times New Roman" w:hAnsi="Times New Roman"/>
        </w:rPr>
        <w:t xml:space="preserve"> Israel challenged the ICC’s jurisdiction.</w:t>
      </w:r>
      <w:r w:rsidRPr="00F37018">
        <w:rPr>
          <w:rStyle w:val="NoteRefInText"/>
          <w:rFonts w:eastAsiaTheme="majorEastAsia"/>
        </w:rPr>
        <w:footnoteReference w:id="52"/>
      </w:r>
      <w:r w:rsidRPr="00F37018">
        <w:rPr>
          <w:rFonts w:ascii="Times New Roman" w:hAnsi="Times New Roman"/>
        </w:rPr>
        <w:t xml:space="preserve"> The challenge failed because the ICC “found reasonable grounds to believe that Mr Netanyahu . . . and Mr Gallant . . . each bear criminal responsibility” as “co-perpetrators” in committing “the war crime of starvation as a method of warfare” and “the crimes against humanity of murder, persecution, and other inhumane acts.”</w:t>
      </w:r>
      <w:r w:rsidRPr="00F37018">
        <w:rPr>
          <w:rStyle w:val="NoteRefInText"/>
          <w:rFonts w:eastAsiaTheme="majorEastAsia"/>
        </w:rPr>
        <w:footnoteReference w:id="53"/>
      </w:r>
      <w:r w:rsidRPr="00F37018">
        <w:rPr>
          <w:rFonts w:ascii="Times New Roman" w:hAnsi="Times New Roman"/>
        </w:rPr>
        <w:t xml:space="preserve"> It is important to note previous examples of ICC arrest warrant outcomes in analyzing these warrants. The most recent and impactful example is the ICC’s arrest warrant for Vladimir Putin and Mongolia’s violation of the arrest warrant.</w:t>
      </w:r>
    </w:p>
    <w:p w14:paraId="2D0F3D56" w14:textId="1BC129D5" w:rsidR="00511561" w:rsidRPr="00F37018" w:rsidRDefault="009A7D11" w:rsidP="00B2682D">
      <w:pPr>
        <w:pStyle w:val="Head2"/>
        <w:rPr>
          <w:rFonts w:ascii="Times New Roman" w:hAnsi="Times New Roman"/>
        </w:rPr>
      </w:pPr>
      <w:bookmarkStart w:id="5" w:name="_Toc226031981"/>
      <w:r>
        <w:rPr>
          <w:rFonts w:ascii="Times New Roman" w:hAnsi="Times New Roman"/>
        </w:rPr>
        <w:t>D</w:t>
      </w:r>
      <w:r w:rsidR="00511561" w:rsidRPr="00F37018">
        <w:rPr>
          <w:rFonts w:ascii="Times New Roman" w:hAnsi="Times New Roman"/>
        </w:rPr>
        <w:t>.</w:t>
      </w:r>
      <w:r w:rsidR="00511561" w:rsidRPr="00F37018">
        <w:rPr>
          <w:rFonts w:ascii="Times New Roman" w:hAnsi="Times New Roman"/>
        </w:rPr>
        <w:tab/>
        <w:t>Mongolia’s Violation of and Punishment for Failure to Comply with the ICC’s Arrest Warrant for Putin</w:t>
      </w:r>
      <w:bookmarkEnd w:id="5"/>
    </w:p>
    <w:p w14:paraId="3CB0CAA8" w14:textId="294A2D32" w:rsidR="00511561" w:rsidRPr="00F37018" w:rsidRDefault="00511561" w:rsidP="00B2682D">
      <w:pPr>
        <w:pStyle w:val="Document"/>
        <w:rPr>
          <w:rFonts w:ascii="Times New Roman" w:hAnsi="Times New Roman"/>
        </w:rPr>
      </w:pPr>
      <w:r w:rsidRPr="00F37018">
        <w:rPr>
          <w:rFonts w:ascii="Times New Roman" w:hAnsi="Times New Roman"/>
        </w:rPr>
        <w:t>The ICC issued an arrest warrant for Vladimir Putin in March of 2023,</w:t>
      </w:r>
      <w:r w:rsidRPr="00F37018">
        <w:rPr>
          <w:rStyle w:val="NoteRefInText"/>
          <w:rFonts w:eastAsiaTheme="majorEastAsia"/>
        </w:rPr>
        <w:footnoteReference w:id="54"/>
      </w:r>
      <w:r w:rsidRPr="00F37018">
        <w:rPr>
          <w:rFonts w:ascii="Times New Roman" w:hAnsi="Times New Roman"/>
        </w:rPr>
        <w:t xml:space="preserve"> and nearly a year-and-a-half later, the ICC learned that </w:t>
      </w:r>
      <w:r w:rsidRPr="00F37018">
        <w:rPr>
          <w:rFonts w:ascii="Times New Roman" w:hAnsi="Times New Roman"/>
        </w:rPr>
        <w:lastRenderedPageBreak/>
        <w:t>Putin was planning a visit to Mongolia.</w:t>
      </w:r>
      <w:r w:rsidRPr="00F37018">
        <w:rPr>
          <w:rStyle w:val="NoteRefInText"/>
          <w:rFonts w:eastAsiaTheme="majorEastAsia"/>
        </w:rPr>
        <w:footnoteReference w:id="55"/>
      </w:r>
      <w:r w:rsidRPr="00F37018">
        <w:rPr>
          <w:rFonts w:ascii="Times New Roman" w:hAnsi="Times New Roman"/>
        </w:rPr>
        <w:t xml:space="preserve"> Following official, diplomatic communications with Mongolia, the ICC determined that “Mongolia did not show any legitimate reason that would impede Mongolia from fulfilling its obligations” of arresting Putin.</w:t>
      </w:r>
      <w:r w:rsidRPr="00F37018">
        <w:rPr>
          <w:rStyle w:val="NoteRefInText"/>
          <w:rFonts w:eastAsiaTheme="majorEastAsia"/>
        </w:rPr>
        <w:footnoteReference w:id="56"/>
      </w:r>
      <w:r w:rsidRPr="00F37018">
        <w:rPr>
          <w:rFonts w:ascii="Times New Roman" w:hAnsi="Times New Roman"/>
        </w:rPr>
        <w:t xml:space="preserve"> Putin then travelled to Mongolia, but was not arrested.</w:t>
      </w:r>
      <w:r w:rsidRPr="00F37018">
        <w:rPr>
          <w:rStyle w:val="NoteRefInText"/>
          <w:rFonts w:eastAsiaTheme="majorEastAsia"/>
        </w:rPr>
        <w:footnoteReference w:id="57"/>
      </w:r>
      <w:r w:rsidRPr="00F37018">
        <w:rPr>
          <w:rFonts w:ascii="Times New Roman" w:hAnsi="Times New Roman"/>
        </w:rPr>
        <w:t xml:space="preserve"> The ICC subsequently brought an action against Mongolia, to which Mongolia argued that it had “not failed to execute the request for cooperation of the Court in a manner contrary to the provisions of [the Rome Statute].”</w:t>
      </w:r>
      <w:r w:rsidRPr="00F37018">
        <w:rPr>
          <w:rStyle w:val="NoteRefInText"/>
          <w:rFonts w:eastAsiaTheme="majorEastAsia"/>
        </w:rPr>
        <w:footnoteReference w:id="58"/>
      </w:r>
      <w:r w:rsidRPr="00F37018">
        <w:rPr>
          <w:rFonts w:ascii="Times New Roman" w:hAnsi="Times New Roman"/>
        </w:rPr>
        <w:t xml:space="preserve"> Mongolia based this argument on Putin’s immunity from prosecution by the ICC as a head of state.</w:t>
      </w:r>
      <w:r w:rsidRPr="00F37018">
        <w:rPr>
          <w:rStyle w:val="NoteRefInText"/>
          <w:rFonts w:eastAsiaTheme="majorEastAsia"/>
        </w:rPr>
        <w:footnoteReference w:id="59"/>
      </w:r>
      <w:r w:rsidRPr="00F37018">
        <w:rPr>
          <w:rFonts w:ascii="Times New Roman" w:hAnsi="Times New Roman"/>
        </w:rPr>
        <w:t xml:space="preserve"> Finding this unpersuasive, the ICC noted that the issue before it was not one of immunity, but one of compliance with obligations Mongolia agreed to in signing the Statute.</w:t>
      </w:r>
      <w:r w:rsidRPr="00F37018">
        <w:rPr>
          <w:rStyle w:val="NoteRefInText"/>
          <w:rFonts w:eastAsiaTheme="majorEastAsia"/>
        </w:rPr>
        <w:footnoteReference w:id="60"/>
      </w:r>
      <w:r w:rsidRPr="00F37018">
        <w:rPr>
          <w:rFonts w:ascii="Times New Roman" w:hAnsi="Times New Roman"/>
        </w:rPr>
        <w:t xml:space="preserve"> In reaching its conclusion, the ICC reasoned that “any arguable bilateral obligation that Mongolia may owe to the Russian Federation to respect any applicable immunity that international law may allow to Heads of State is not capable of displacing the obligation that Mongolia owes to the Court.”</w:t>
      </w:r>
      <w:r w:rsidRPr="00F37018">
        <w:rPr>
          <w:rStyle w:val="NoteRefInText"/>
          <w:rFonts w:eastAsiaTheme="majorEastAsia"/>
        </w:rPr>
        <w:footnoteReference w:id="61"/>
      </w:r>
      <w:r w:rsidRPr="00F37018">
        <w:rPr>
          <w:rFonts w:ascii="Times New Roman" w:hAnsi="Times New Roman"/>
        </w:rPr>
        <w:t xml:space="preserve"> Because Mongolia failed to comply with the Statute, the ICC referred it to the Assembly of States Parties.</w:t>
      </w:r>
      <w:r w:rsidRPr="00F37018">
        <w:rPr>
          <w:rStyle w:val="NoteRefInText"/>
          <w:rFonts w:eastAsiaTheme="majorEastAsia"/>
        </w:rPr>
        <w:footnoteReference w:id="62"/>
      </w:r>
      <w:r w:rsidRPr="00F37018">
        <w:rPr>
          <w:rFonts w:ascii="Times New Roman" w:hAnsi="Times New Roman"/>
        </w:rPr>
        <w:t xml:space="preserve"> Newer developments in the Israel-Palestine conflict, in light of the ICC’s Mongolia decision, inform possible outcomes of the ICC arrest warrants for the Israeli and Palestinian officials.</w:t>
      </w:r>
    </w:p>
    <w:p w14:paraId="655B74A2" w14:textId="1996B9C6" w:rsidR="00511561" w:rsidRPr="00F37018" w:rsidRDefault="009A7D11" w:rsidP="00B2682D">
      <w:pPr>
        <w:pStyle w:val="Head2"/>
        <w:rPr>
          <w:rFonts w:ascii="Times New Roman" w:hAnsi="Times New Roman"/>
        </w:rPr>
      </w:pPr>
      <w:bookmarkStart w:id="6" w:name="_Toc226031982"/>
      <w:r>
        <w:rPr>
          <w:rFonts w:ascii="Times New Roman" w:hAnsi="Times New Roman"/>
        </w:rPr>
        <w:t>E</w:t>
      </w:r>
      <w:r w:rsidR="00511561" w:rsidRPr="00F37018">
        <w:rPr>
          <w:rFonts w:ascii="Times New Roman" w:hAnsi="Times New Roman"/>
        </w:rPr>
        <w:t>.</w:t>
      </w:r>
      <w:r w:rsidR="00511561" w:rsidRPr="00F37018">
        <w:rPr>
          <w:rFonts w:ascii="Times New Roman" w:hAnsi="Times New Roman"/>
        </w:rPr>
        <w:tab/>
        <w:t>Newer Developments in the Israel-Palestine Conflict</w:t>
      </w:r>
      <w:bookmarkEnd w:id="6"/>
    </w:p>
    <w:p w14:paraId="00965062" w14:textId="05358E37" w:rsidR="00511561" w:rsidRPr="00F37018" w:rsidRDefault="00511561" w:rsidP="00B2682D">
      <w:pPr>
        <w:pStyle w:val="Document"/>
        <w:rPr>
          <w:rFonts w:ascii="Times New Roman" w:hAnsi="Times New Roman"/>
        </w:rPr>
      </w:pPr>
      <w:r w:rsidRPr="00F37018">
        <w:rPr>
          <w:rFonts w:ascii="Times New Roman" w:hAnsi="Times New Roman"/>
        </w:rPr>
        <w:t>Recently, United States President Donald Trump “signed an executive order imposing sanctions on the International Criminal Court over investigations of Israel.”</w:t>
      </w:r>
      <w:r w:rsidRPr="00F37018">
        <w:rPr>
          <w:rStyle w:val="NoteRefInText"/>
          <w:rFonts w:eastAsiaTheme="majorEastAsia"/>
        </w:rPr>
        <w:footnoteReference w:id="63"/>
      </w:r>
      <w:r w:rsidRPr="00F37018">
        <w:rPr>
          <w:rFonts w:ascii="Times New Roman" w:hAnsi="Times New Roman"/>
        </w:rPr>
        <w:t xml:space="preserve"> The executive order states that the ICC has engaged in “illegitimate and baseless actions” and “has </w:t>
      </w:r>
      <w:r w:rsidRPr="00F37018">
        <w:rPr>
          <w:rFonts w:ascii="Times New Roman" w:hAnsi="Times New Roman"/>
        </w:rPr>
        <w:lastRenderedPageBreak/>
        <w:t>no jurisdiction over the United States or Israel.”</w:t>
      </w:r>
      <w:r w:rsidRPr="00F37018">
        <w:rPr>
          <w:rStyle w:val="NoteRefInText"/>
          <w:rFonts w:eastAsiaTheme="majorEastAsia"/>
        </w:rPr>
        <w:footnoteReference w:id="64"/>
      </w:r>
      <w:r w:rsidRPr="00F37018">
        <w:rPr>
          <w:rFonts w:ascii="Times New Roman" w:hAnsi="Times New Roman"/>
        </w:rPr>
        <w:t xml:space="preserve"> The ICC and its officials now face the imposition of “tangible and significant consequences.”</w:t>
      </w:r>
      <w:r w:rsidRPr="00F37018">
        <w:rPr>
          <w:rStyle w:val="NoteRefInText"/>
          <w:rFonts w:eastAsiaTheme="majorEastAsia"/>
        </w:rPr>
        <w:footnoteReference w:id="65"/>
      </w:r>
      <w:r w:rsidRPr="00F37018">
        <w:rPr>
          <w:rFonts w:ascii="Times New Roman" w:hAnsi="Times New Roman"/>
        </w:rPr>
        <w:t xml:space="preserve"> An American politician also “vow[ed] to crush the court as well as the economy of any country that tries to enforce the arrest warrant against Netanyahu.”</w:t>
      </w:r>
      <w:r w:rsidRPr="00F37018">
        <w:rPr>
          <w:rStyle w:val="NoteRefInText"/>
          <w:rFonts w:eastAsiaTheme="majorEastAsia"/>
        </w:rPr>
        <w:footnoteReference w:id="66"/>
      </w:r>
      <w:r w:rsidRPr="00F37018">
        <w:rPr>
          <w:rFonts w:ascii="Times New Roman" w:hAnsi="Times New Roman"/>
        </w:rPr>
        <w:t xml:space="preserve"> European ICC member parties, however, are calling on one another “to cooperate to mitigate risks of these possible sanctions, so that the court can continue to carry out its work and fulfill its mandate.”</w:t>
      </w:r>
      <w:r w:rsidRPr="00F37018">
        <w:rPr>
          <w:rStyle w:val="NoteRefInText"/>
          <w:rFonts w:eastAsiaTheme="majorEastAsia"/>
        </w:rPr>
        <w:footnoteReference w:id="67"/>
      </w:r>
      <w:r w:rsidRPr="00F37018">
        <w:rPr>
          <w:rFonts w:ascii="Times New Roman" w:hAnsi="Times New Roman"/>
        </w:rPr>
        <w:t xml:space="preserve"> South Carolina Senator Lindsey Graham, who at one point led joint U.S.-ICC cooperation efforts, stated that “[t]he legal theory [the ICC is] using against Israel has no limits.”</w:t>
      </w:r>
      <w:r w:rsidRPr="00F37018">
        <w:rPr>
          <w:rStyle w:val="NoteRefInText"/>
          <w:rFonts w:eastAsiaTheme="majorEastAsia"/>
        </w:rPr>
        <w:footnoteReference w:id="68"/>
      </w:r>
      <w:r w:rsidRPr="00F37018">
        <w:rPr>
          <w:rFonts w:ascii="Times New Roman" w:hAnsi="Times New Roman"/>
        </w:rPr>
        <w:t xml:space="preserve"> A survey of the ICC’s jurisdiction and creation is necessary to fully understand its legal theory and enforcement mechanisms.</w:t>
      </w:r>
    </w:p>
    <w:p w14:paraId="219677CD" w14:textId="75A646C9" w:rsidR="00511561" w:rsidRPr="00F37018" w:rsidRDefault="00511561" w:rsidP="00B2682D">
      <w:pPr>
        <w:pStyle w:val="Head1"/>
        <w:rPr>
          <w:rFonts w:ascii="Times New Roman" w:hAnsi="Times New Roman"/>
        </w:rPr>
      </w:pPr>
      <w:bookmarkStart w:id="7" w:name="_Toc226031983"/>
      <w:r w:rsidRPr="00F37018">
        <w:rPr>
          <w:rFonts w:ascii="Times New Roman" w:hAnsi="Times New Roman"/>
        </w:rPr>
        <w:t>III.</w:t>
      </w:r>
      <w:r w:rsidRPr="00F37018">
        <w:rPr>
          <w:rFonts w:ascii="Times New Roman" w:hAnsi="Times New Roman"/>
        </w:rPr>
        <w:tab/>
        <w:t>Background Law and Analytical Framework</w:t>
      </w:r>
      <w:bookmarkEnd w:id="7"/>
    </w:p>
    <w:p w14:paraId="247EAFCB" w14:textId="28AC89C6" w:rsidR="00511561" w:rsidRPr="00F37018" w:rsidRDefault="009A7D11" w:rsidP="00B2682D">
      <w:pPr>
        <w:pStyle w:val="Head2"/>
        <w:rPr>
          <w:rFonts w:ascii="Times New Roman" w:hAnsi="Times New Roman"/>
        </w:rPr>
      </w:pPr>
      <w:bookmarkStart w:id="8" w:name="_Toc226031984"/>
      <w:r>
        <w:rPr>
          <w:rFonts w:ascii="Times New Roman" w:hAnsi="Times New Roman"/>
        </w:rPr>
        <w:t>A</w:t>
      </w:r>
      <w:r w:rsidR="00511561" w:rsidRPr="00F37018">
        <w:rPr>
          <w:rFonts w:ascii="Times New Roman" w:hAnsi="Times New Roman"/>
        </w:rPr>
        <w:t>.</w:t>
      </w:r>
      <w:r w:rsidR="00511561" w:rsidRPr="00F37018">
        <w:rPr>
          <w:rFonts w:ascii="Times New Roman" w:hAnsi="Times New Roman"/>
        </w:rPr>
        <w:tab/>
        <w:t>The International Criminal Court and the Rome Statute</w:t>
      </w:r>
      <w:bookmarkEnd w:id="8"/>
    </w:p>
    <w:p w14:paraId="02C8144F" w14:textId="02079344" w:rsidR="00511561" w:rsidRPr="00F37018" w:rsidRDefault="00511561" w:rsidP="00B2682D">
      <w:pPr>
        <w:pStyle w:val="Document"/>
        <w:rPr>
          <w:rFonts w:ascii="Times New Roman" w:hAnsi="Times New Roman"/>
        </w:rPr>
      </w:pPr>
      <w:r w:rsidRPr="00F37018">
        <w:rPr>
          <w:rFonts w:ascii="Times New Roman" w:hAnsi="Times New Roman"/>
        </w:rPr>
        <w:t>The ICC possesses jurisdiction over four crimes: “[t]he crime of genocide; [c]rimes against humanity; [w]ar crimes; [and t]he crime of aggression.”</w:t>
      </w:r>
      <w:r w:rsidRPr="00F37018">
        <w:rPr>
          <w:rStyle w:val="NoteRefInText"/>
          <w:rFonts w:eastAsiaTheme="majorEastAsia"/>
        </w:rPr>
        <w:footnoteReference w:id="69"/>
      </w:r>
      <w:r w:rsidRPr="00F37018">
        <w:rPr>
          <w:rFonts w:ascii="Times New Roman" w:hAnsi="Times New Roman"/>
        </w:rPr>
        <w:t xml:space="preserve"> The Rome Statute defines crimes against humanity, </w:t>
      </w:r>
      <w:r w:rsidRPr="00F37018">
        <w:rPr>
          <w:rFonts w:ascii="Times New Roman" w:hAnsi="Times New Roman"/>
          <w:i/>
          <w:iCs/>
        </w:rPr>
        <w:t>inter alia</w:t>
      </w:r>
      <w:r w:rsidRPr="00F37018">
        <w:rPr>
          <w:rFonts w:ascii="Times New Roman" w:hAnsi="Times New Roman"/>
        </w:rPr>
        <w:t>, as murder, extermination, deportation or forcible transfer of population, torture, rape or comparable sexual violence, and the crime of apartheid.</w:t>
      </w:r>
      <w:r w:rsidRPr="00F37018">
        <w:rPr>
          <w:rStyle w:val="NoteRefInText"/>
          <w:rFonts w:eastAsiaTheme="majorEastAsia"/>
        </w:rPr>
        <w:footnoteReference w:id="70"/>
      </w:r>
      <w:r w:rsidRPr="00F37018">
        <w:rPr>
          <w:rFonts w:ascii="Times New Roman" w:hAnsi="Times New Roman"/>
        </w:rPr>
        <w:t xml:space="preserve"> Article seven also provides that crimes against humanity occur “when committed as part of a widespread or systematic attack directed against any civilian population, with knowledge of the attack.”</w:t>
      </w:r>
      <w:r w:rsidRPr="00F37018">
        <w:rPr>
          <w:rStyle w:val="NoteRefInText"/>
          <w:rFonts w:eastAsiaTheme="majorEastAsia"/>
        </w:rPr>
        <w:footnoteReference w:id="71"/>
      </w:r>
    </w:p>
    <w:p w14:paraId="230213EA" w14:textId="4113F892" w:rsidR="00511561" w:rsidRPr="00F37018" w:rsidRDefault="00511561" w:rsidP="00B2682D">
      <w:pPr>
        <w:pStyle w:val="Document"/>
        <w:rPr>
          <w:rFonts w:ascii="Times New Roman" w:hAnsi="Times New Roman"/>
        </w:rPr>
      </w:pPr>
      <w:r w:rsidRPr="00F37018">
        <w:rPr>
          <w:rFonts w:ascii="Times New Roman" w:hAnsi="Times New Roman"/>
        </w:rPr>
        <w:t>The Statute defines war crimes as “[g]rave breaches of the Geneva Conventions,”</w:t>
      </w:r>
      <w:r w:rsidRPr="00F37018">
        <w:rPr>
          <w:rStyle w:val="NoteRefInText"/>
          <w:rFonts w:eastAsiaTheme="majorEastAsia"/>
        </w:rPr>
        <w:footnoteReference w:id="72"/>
      </w:r>
      <w:r w:rsidRPr="00F37018">
        <w:rPr>
          <w:rFonts w:ascii="Times New Roman" w:hAnsi="Times New Roman"/>
        </w:rPr>
        <w:t xml:space="preserve"> including: willful killing, torture, willfully causing great suffering, or serious injury to body or health, extensive destruction and appropriation of property, not justified by military necessity and carried out unlawfully and wantonly, unlawful deportation or transfer or unlawful confinement, and taking of hostages.</w:t>
      </w:r>
      <w:r w:rsidRPr="00F37018">
        <w:rPr>
          <w:rStyle w:val="NoteRefInText"/>
          <w:rFonts w:eastAsiaTheme="majorEastAsia"/>
        </w:rPr>
        <w:footnoteReference w:id="73"/>
      </w:r>
      <w:r w:rsidRPr="00F37018">
        <w:rPr>
          <w:rFonts w:ascii="Times New Roman" w:hAnsi="Times New Roman"/>
        </w:rPr>
        <w:t xml:space="preserve"> The ICC also holds jurisdiction over acts committed during “an armed conflict not of an international </w:t>
      </w:r>
      <w:r w:rsidRPr="00F37018">
        <w:rPr>
          <w:rFonts w:ascii="Times New Roman" w:hAnsi="Times New Roman"/>
        </w:rPr>
        <w:lastRenderedPageBreak/>
        <w:t>character.”</w:t>
      </w:r>
      <w:r w:rsidRPr="00F37018">
        <w:rPr>
          <w:rStyle w:val="NoteRefInText"/>
          <w:rFonts w:eastAsiaTheme="majorEastAsia"/>
        </w:rPr>
        <w:footnoteReference w:id="74"/>
      </w:r>
      <w:r w:rsidRPr="00F37018">
        <w:rPr>
          <w:rFonts w:ascii="Times New Roman" w:hAnsi="Times New Roman"/>
        </w:rPr>
        <w:t xml:space="preserve"> The ICC may only exercise jurisdiction if a State Party refers the situation to the Prosecutor of the ICC, the United Nations refers the situation to the ICC, or the Prosecutor itself initiates an investigation.</w:t>
      </w:r>
      <w:r w:rsidRPr="00F37018">
        <w:rPr>
          <w:rStyle w:val="NoteRefInText"/>
          <w:rFonts w:eastAsiaTheme="majorEastAsia"/>
        </w:rPr>
        <w:footnoteReference w:id="75"/>
      </w:r>
      <w:r w:rsidRPr="00F37018">
        <w:rPr>
          <w:rFonts w:ascii="Times New Roman" w:hAnsi="Times New Roman"/>
        </w:rPr>
        <w:t xml:space="preserve"> Pursuant to its jurisdiction, the ICC can issue arrest warrants for individuals suspected of committing any of the above crimes.</w:t>
      </w:r>
      <w:r w:rsidRPr="00F37018">
        <w:rPr>
          <w:rStyle w:val="NoteRefInText"/>
          <w:rFonts w:eastAsiaTheme="majorEastAsia"/>
        </w:rPr>
        <w:footnoteReference w:id="76"/>
      </w:r>
      <w:r w:rsidRPr="00F37018">
        <w:rPr>
          <w:rFonts w:ascii="Times New Roman" w:hAnsi="Times New Roman"/>
        </w:rPr>
        <w:t xml:space="preserve"> The Prosecutor must first initiate an investigation into the situation, whereafter the Pre-Trial Chamber may issue the warrant “if there are reasonable grounds to believe that the person concerned has committed a crime within the ICC’s jurisdiction.”</w:t>
      </w:r>
      <w:r w:rsidRPr="00F37018">
        <w:rPr>
          <w:rStyle w:val="NoteRefInText"/>
          <w:rFonts w:eastAsiaTheme="majorEastAsia"/>
        </w:rPr>
        <w:footnoteReference w:id="77"/>
      </w:r>
      <w:r w:rsidRPr="00F37018">
        <w:rPr>
          <w:rFonts w:ascii="Times New Roman" w:hAnsi="Times New Roman"/>
        </w:rPr>
        <w:t xml:space="preserve"> The enforcement of arrest warrants, however, falls to the States Parties to the Rome Statute.</w:t>
      </w:r>
      <w:r w:rsidRPr="00F37018">
        <w:rPr>
          <w:rStyle w:val="NoteRefInText"/>
          <w:rFonts w:eastAsiaTheme="majorEastAsia"/>
        </w:rPr>
        <w:footnoteReference w:id="78"/>
      </w:r>
    </w:p>
    <w:p w14:paraId="21C2CC7E" w14:textId="7CCEF7AD" w:rsidR="00511561" w:rsidRPr="00F37018" w:rsidRDefault="00511561" w:rsidP="00B2682D">
      <w:pPr>
        <w:pStyle w:val="Document"/>
        <w:rPr>
          <w:rFonts w:ascii="Times New Roman" w:hAnsi="Times New Roman"/>
        </w:rPr>
      </w:pPr>
      <w:r w:rsidRPr="00F37018">
        <w:rPr>
          <w:rFonts w:ascii="Times New Roman" w:hAnsi="Times New Roman"/>
        </w:rPr>
        <w:t>The ICC does not have a police force or an enforcement mechanism of its own and, thus, relies on cooperation from the Statute’s States Parties.</w:t>
      </w:r>
      <w:r w:rsidRPr="00F37018">
        <w:rPr>
          <w:rStyle w:val="NoteRefInText"/>
          <w:rFonts w:eastAsiaTheme="majorEastAsia"/>
        </w:rPr>
        <w:footnoteReference w:id="79"/>
      </w:r>
      <w:r w:rsidRPr="00F37018">
        <w:rPr>
          <w:rFonts w:ascii="Times New Roman" w:hAnsi="Times New Roman"/>
        </w:rPr>
        <w:t xml:space="preserve"> The ICC intends “to complement, not replace, national criminal systems; it prosecutes cases only when States do not [or] are unwilling or unable” to prosecute crimes.</w:t>
      </w:r>
      <w:r w:rsidRPr="00F37018">
        <w:rPr>
          <w:rStyle w:val="NoteRefInText"/>
          <w:rFonts w:eastAsiaTheme="majorEastAsia"/>
        </w:rPr>
        <w:footnoteReference w:id="80"/>
      </w:r>
      <w:r w:rsidRPr="00F37018">
        <w:rPr>
          <w:rFonts w:ascii="Times New Roman" w:hAnsi="Times New Roman"/>
        </w:rPr>
        <w:t xml:space="preserve"> Concerning arrest warrants, the ICC relies on States Parties, who, under the Statute, “have a legal obligation to cooperate fully with the ICC.”</w:t>
      </w:r>
      <w:r w:rsidRPr="00F37018">
        <w:rPr>
          <w:rStyle w:val="NoteRefInText"/>
          <w:rFonts w:eastAsiaTheme="majorEastAsia"/>
        </w:rPr>
        <w:footnoteReference w:id="81"/>
      </w:r>
      <w:r w:rsidRPr="00F37018">
        <w:rPr>
          <w:rFonts w:ascii="Times New Roman" w:hAnsi="Times New Roman"/>
        </w:rPr>
        <w:t xml:space="preserve"> If States Parties do not comply, however, the ICC may refer the violating party to the Assembly of States Parties, as seen in the Mongolia decision.</w:t>
      </w:r>
      <w:r w:rsidRPr="00F37018">
        <w:rPr>
          <w:rStyle w:val="NoteRefInText"/>
          <w:rFonts w:eastAsiaTheme="majorEastAsia"/>
        </w:rPr>
        <w:footnoteReference w:id="82"/>
      </w:r>
      <w:r w:rsidRPr="00F37018">
        <w:rPr>
          <w:rFonts w:ascii="Times New Roman" w:hAnsi="Times New Roman"/>
        </w:rPr>
        <w:t xml:space="preserve"> This compliance regime is known as a </w:t>
      </w:r>
      <w:r w:rsidRPr="00F37018">
        <w:rPr>
          <w:rFonts w:ascii="Times New Roman" w:hAnsi="Times New Roman"/>
        </w:rPr>
        <w:lastRenderedPageBreak/>
        <w:t>complementarity regime.</w:t>
      </w:r>
      <w:r w:rsidRPr="00F37018">
        <w:rPr>
          <w:rStyle w:val="NoteRefInText"/>
          <w:rFonts w:eastAsiaTheme="majorEastAsia"/>
        </w:rPr>
        <w:footnoteReference w:id="83"/>
      </w:r>
    </w:p>
    <w:p w14:paraId="492BBCC0" w14:textId="4809E2EB" w:rsidR="00511561" w:rsidRPr="00F37018" w:rsidRDefault="00511561" w:rsidP="00B2682D">
      <w:pPr>
        <w:pStyle w:val="Document"/>
        <w:rPr>
          <w:rFonts w:ascii="Times New Roman" w:hAnsi="Times New Roman"/>
        </w:rPr>
      </w:pPr>
      <w:r w:rsidRPr="00F37018">
        <w:rPr>
          <w:rFonts w:ascii="Times New Roman" w:hAnsi="Times New Roman"/>
        </w:rPr>
        <w:t>The rationale of the complementarity regime raises concerns over attaining the ICC’s goals. Complementarity is designed to protect nations’ sovereignty,</w:t>
      </w:r>
      <w:r w:rsidRPr="00F37018">
        <w:rPr>
          <w:rStyle w:val="NoteRefInText"/>
          <w:rFonts w:eastAsiaTheme="majorEastAsia"/>
        </w:rPr>
        <w:footnoteReference w:id="84"/>
      </w:r>
      <w:r w:rsidRPr="00F37018">
        <w:rPr>
          <w:rFonts w:ascii="Times New Roman" w:hAnsi="Times New Roman"/>
        </w:rPr>
        <w:t xml:space="preserve"> allowing States Parties to maintain their “right to exercise criminal jurisdiction over acts within their jurisdiction. The exercise of criminal jurisdiction can indeed be said to be a central aspect of sovereignty itself.”</w:t>
      </w:r>
      <w:r w:rsidRPr="00F37018">
        <w:rPr>
          <w:rStyle w:val="NoteRefInText"/>
          <w:rFonts w:eastAsiaTheme="majorEastAsia"/>
        </w:rPr>
        <w:footnoteReference w:id="85"/>
      </w:r>
      <w:r w:rsidRPr="00F37018">
        <w:rPr>
          <w:rFonts w:ascii="Times New Roman" w:hAnsi="Times New Roman"/>
        </w:rPr>
        <w:t xml:space="preserve"> In this way, complementarity places a duty on States Parties to exercise their criminal jurisdiction over responsible individuals,</w:t>
      </w:r>
      <w:r w:rsidRPr="00F37018">
        <w:rPr>
          <w:rStyle w:val="NoteRefInText"/>
          <w:rFonts w:eastAsiaTheme="majorEastAsia"/>
        </w:rPr>
        <w:footnoteReference w:id="86"/>
      </w:r>
      <w:r w:rsidRPr="00F37018">
        <w:rPr>
          <w:rFonts w:ascii="Times New Roman" w:hAnsi="Times New Roman"/>
        </w:rPr>
        <w:t xml:space="preserve"> ensuring and encouraging States Parties to exercise their jurisdiction. But the duty that the ICC places on States Parties “turns on the level of trust a nation has toward the ICC.”</w:t>
      </w:r>
      <w:r w:rsidRPr="00F37018">
        <w:rPr>
          <w:rStyle w:val="NoteRefInText"/>
          <w:rFonts w:eastAsiaTheme="majorEastAsia"/>
        </w:rPr>
        <w:footnoteReference w:id="87"/>
      </w:r>
      <w:r w:rsidRPr="00F37018">
        <w:rPr>
          <w:rFonts w:ascii="Times New Roman" w:hAnsi="Times New Roman"/>
        </w:rPr>
        <w:t xml:space="preserve"> A real concern is raised, therefore, about the effective exercise of ICC jurisdiction. Because “the indeterminateness of international criminal law makes it easy to imagine” principled disagreements between the ICC and a State Party, a complementarity regime also implicates international criminal enforcement generally.</w:t>
      </w:r>
      <w:r w:rsidRPr="00F37018">
        <w:rPr>
          <w:rStyle w:val="NoteRefInText"/>
          <w:rFonts w:eastAsiaTheme="majorEastAsia"/>
        </w:rPr>
        <w:footnoteReference w:id="88"/>
      </w:r>
      <w:r w:rsidRPr="00F37018">
        <w:rPr>
          <w:rFonts w:ascii="Times New Roman" w:hAnsi="Times New Roman"/>
        </w:rPr>
        <w:t xml:space="preserve"> The inherent conflict is clear. The ICC relies on States Parties, who may not trust the ICC’s exercise of jurisdiction, for enforcement of such jurisdiction. A level of distrust and possible inaction in these circumstances shows possible enforcement issues within the ICC’s complementarity regime.</w:t>
      </w:r>
    </w:p>
    <w:p w14:paraId="2DF4F212" w14:textId="6D9BDF3B" w:rsidR="00511561" w:rsidRPr="00F37018" w:rsidRDefault="00511561" w:rsidP="00B2682D">
      <w:pPr>
        <w:pStyle w:val="Document"/>
        <w:rPr>
          <w:rFonts w:ascii="Times New Roman" w:hAnsi="Times New Roman"/>
        </w:rPr>
      </w:pPr>
      <w:r w:rsidRPr="00F37018">
        <w:rPr>
          <w:rFonts w:ascii="Times New Roman" w:hAnsi="Times New Roman"/>
        </w:rPr>
        <w:t>Pursuant to Article 87(7) of the Rome Statute, the ICC may refer a State Party to the Assembly of States Parties “[w]here a State Party fails to comply with a request to cooperate by the Court contrary to the provisions of this statute, thereby preventing the Court from exercising its functions and powers under this Statute[.]”</w:t>
      </w:r>
      <w:r w:rsidRPr="00F37018">
        <w:rPr>
          <w:rStyle w:val="NoteRefInText"/>
          <w:rFonts w:eastAsiaTheme="majorEastAsia"/>
        </w:rPr>
        <w:footnoteReference w:id="89"/>
      </w:r>
      <w:r w:rsidRPr="00F37018">
        <w:rPr>
          <w:rFonts w:ascii="Times New Roman" w:hAnsi="Times New Roman"/>
        </w:rPr>
        <w:t xml:space="preserve"> Compliance failure arises in many different circumstances; the Statute’s remedy for non-compliance is a referral to the Assembly of States Parties.</w:t>
      </w:r>
      <w:r w:rsidRPr="00F37018">
        <w:rPr>
          <w:rStyle w:val="NoteRefInText"/>
          <w:rFonts w:eastAsiaTheme="majorEastAsia"/>
        </w:rPr>
        <w:footnoteReference w:id="90"/>
      </w:r>
      <w:r w:rsidRPr="00F37018">
        <w:rPr>
          <w:rFonts w:ascii="Times New Roman" w:hAnsi="Times New Roman"/>
        </w:rPr>
        <w:t xml:space="preserve"> The procedure of referral, as Mongolia learned, highlights more enforcement defects within the ICC’s complementarity regime.</w:t>
      </w:r>
    </w:p>
    <w:p w14:paraId="49BABF6F" w14:textId="30B2AA45" w:rsidR="00511561" w:rsidRPr="00F37018" w:rsidRDefault="00511561" w:rsidP="00B2682D">
      <w:pPr>
        <w:pStyle w:val="Document"/>
        <w:rPr>
          <w:rFonts w:ascii="Times New Roman" w:hAnsi="Times New Roman"/>
        </w:rPr>
      </w:pPr>
      <w:r w:rsidRPr="00F37018">
        <w:rPr>
          <w:rFonts w:ascii="Times New Roman" w:hAnsi="Times New Roman"/>
        </w:rPr>
        <w:lastRenderedPageBreak/>
        <w:t>The Assembly of States Parties has the power to, as stated in Article 112 of the Rome Statute, “[c]onsider . . . any question relating to non-cooperation” by a State Party.</w:t>
      </w:r>
      <w:r w:rsidRPr="00F37018">
        <w:rPr>
          <w:rStyle w:val="NoteRefInText"/>
          <w:rFonts w:eastAsiaTheme="majorEastAsia"/>
        </w:rPr>
        <w:footnoteReference w:id="91"/>
      </w:r>
      <w:r w:rsidRPr="00F37018">
        <w:rPr>
          <w:rFonts w:ascii="Times New Roman" w:hAnsi="Times New Roman"/>
        </w:rPr>
        <w:t xml:space="preserve"> In instances like the Mongolia decision, the Assembly of States Parties employs a specific, formal response procedure to the ICC’s referral.</w:t>
      </w:r>
      <w:r w:rsidRPr="00F37018">
        <w:rPr>
          <w:rStyle w:val="NoteRefInText"/>
          <w:rFonts w:eastAsiaTheme="majorEastAsia"/>
        </w:rPr>
        <w:footnoteReference w:id="92"/>
      </w:r>
      <w:r w:rsidRPr="00F37018">
        <w:rPr>
          <w:rFonts w:ascii="Times New Roman" w:hAnsi="Times New Roman"/>
        </w:rPr>
        <w:t xml:space="preserve"> Multiple actions are recommended to address issues of non-cooperation by a State Party.</w:t>
      </w:r>
      <w:r w:rsidRPr="00F37018">
        <w:rPr>
          <w:rStyle w:val="NoteRefInText"/>
          <w:rFonts w:eastAsiaTheme="majorEastAsia"/>
        </w:rPr>
        <w:footnoteReference w:id="93"/>
      </w:r>
      <w:r w:rsidRPr="00F37018">
        <w:rPr>
          <w:rFonts w:ascii="Times New Roman" w:hAnsi="Times New Roman"/>
        </w:rPr>
        <w:t xml:space="preserve"> The Assembly of States Parties may call an Emergency Bureau meeting; the President of the Assembly could send an open letter; the violating State Party could, at a subsequent Assembly meeting, “discuss the implications of the Court’s decision regarding its non-cooperation and present its views on how it would cooperate with the Court in the future;” a public meeting on the incident could be held; discussions could be held by the Assembly; and the Assembly could call on the United Nations to encourage cooperation.</w:t>
      </w:r>
      <w:r w:rsidRPr="00F37018">
        <w:rPr>
          <w:rStyle w:val="NoteRefInText"/>
          <w:rFonts w:eastAsiaTheme="majorEastAsia"/>
        </w:rPr>
        <w:footnoteReference w:id="94"/>
      </w:r>
      <w:r w:rsidRPr="00F37018">
        <w:rPr>
          <w:rFonts w:ascii="Times New Roman" w:hAnsi="Times New Roman"/>
        </w:rPr>
        <w:t xml:space="preserve"> Any Assembly action, however, lacks coercion against a violating State Party.</w:t>
      </w:r>
    </w:p>
    <w:p w14:paraId="12F9FB37" w14:textId="1FBD8B5B" w:rsidR="00511561" w:rsidRPr="00F37018" w:rsidRDefault="00511561" w:rsidP="00B2682D">
      <w:pPr>
        <w:pStyle w:val="Document"/>
        <w:rPr>
          <w:rFonts w:ascii="Times New Roman" w:hAnsi="Times New Roman"/>
        </w:rPr>
      </w:pPr>
      <w:r w:rsidRPr="00F37018">
        <w:rPr>
          <w:rFonts w:ascii="Times New Roman" w:hAnsi="Times New Roman"/>
        </w:rPr>
        <w:t>As seen in a 2016 matter involving Kenya, “the procedure does not lay down a framework for actually sanctioning a State Party which refuses to cooperate.”</w:t>
      </w:r>
      <w:r w:rsidRPr="00F37018">
        <w:rPr>
          <w:rStyle w:val="NoteRefInText"/>
          <w:rFonts w:eastAsiaTheme="majorEastAsia"/>
        </w:rPr>
        <w:footnoteReference w:id="95"/>
      </w:r>
      <w:r w:rsidRPr="00F37018">
        <w:rPr>
          <w:rFonts w:ascii="Times New Roman" w:hAnsi="Times New Roman"/>
        </w:rPr>
        <w:t xml:space="preserve"> Without any tangible means of enforcement and procedure focusing on “potential action taken by external actors,” one may conclude that the ICC is little more than the maker of legal norms, in the vein of game theory,</w:t>
      </w:r>
      <w:r w:rsidRPr="00F37018">
        <w:rPr>
          <w:rStyle w:val="NoteRefInText"/>
          <w:rFonts w:eastAsiaTheme="majorEastAsia"/>
        </w:rPr>
        <w:footnoteReference w:id="96"/>
      </w:r>
      <w:r w:rsidRPr="00F37018">
        <w:rPr>
          <w:rFonts w:ascii="Times New Roman" w:hAnsi="Times New Roman"/>
        </w:rPr>
        <w:t xml:space="preserve"> rather than a court with “enforcement power.”</w:t>
      </w:r>
      <w:r w:rsidRPr="00F37018">
        <w:rPr>
          <w:rStyle w:val="NoteRefInText"/>
          <w:rFonts w:eastAsiaTheme="majorEastAsia"/>
        </w:rPr>
        <w:footnoteReference w:id="97"/>
      </w:r>
    </w:p>
    <w:p w14:paraId="7B9EB224" w14:textId="5CD978DA" w:rsidR="00511561" w:rsidRPr="00F37018" w:rsidRDefault="009A7D11" w:rsidP="00B2682D">
      <w:pPr>
        <w:pStyle w:val="Head2"/>
        <w:rPr>
          <w:rFonts w:ascii="Times New Roman" w:hAnsi="Times New Roman"/>
        </w:rPr>
      </w:pPr>
      <w:bookmarkStart w:id="9" w:name="_Toc226031985"/>
      <w:r>
        <w:rPr>
          <w:rFonts w:ascii="Times New Roman" w:hAnsi="Times New Roman"/>
        </w:rPr>
        <w:t>B</w:t>
      </w:r>
      <w:r w:rsidR="00511561" w:rsidRPr="00F37018">
        <w:rPr>
          <w:rFonts w:ascii="Times New Roman" w:hAnsi="Times New Roman"/>
        </w:rPr>
        <w:t>.</w:t>
      </w:r>
      <w:r w:rsidR="00511561" w:rsidRPr="00F37018">
        <w:rPr>
          <w:rFonts w:ascii="Times New Roman" w:hAnsi="Times New Roman"/>
        </w:rPr>
        <w:tab/>
        <w:t>The Absence of an Enforcement Mechanism</w:t>
      </w:r>
      <w:bookmarkEnd w:id="9"/>
    </w:p>
    <w:p w14:paraId="1225034C" w14:textId="5B9CE67D" w:rsidR="00511561" w:rsidRPr="00F37018" w:rsidRDefault="00511561" w:rsidP="00B2682D">
      <w:pPr>
        <w:pStyle w:val="Document"/>
        <w:rPr>
          <w:rFonts w:ascii="Times New Roman" w:hAnsi="Times New Roman"/>
        </w:rPr>
      </w:pPr>
      <w:r w:rsidRPr="00F37018">
        <w:rPr>
          <w:rFonts w:ascii="Times New Roman" w:hAnsi="Times New Roman"/>
        </w:rPr>
        <w:t>It is apparent that the ICC lacks an enforcement mechanism for its adjudication; even the ICC admits it.</w:t>
      </w:r>
      <w:r w:rsidRPr="00F37018">
        <w:rPr>
          <w:rStyle w:val="NoteRefInText"/>
          <w:rFonts w:eastAsiaTheme="majorEastAsia"/>
        </w:rPr>
        <w:footnoteReference w:id="98"/>
      </w:r>
      <w:r w:rsidRPr="00F37018">
        <w:rPr>
          <w:rFonts w:ascii="Times New Roman" w:hAnsi="Times New Roman"/>
        </w:rPr>
        <w:t xml:space="preserve"> But this was not an oversight. The ICC’s creation followed an international conference “dominated by weak and middle powers and by nongovernmental organizations.”</w:t>
      </w:r>
      <w:r w:rsidRPr="00F37018">
        <w:rPr>
          <w:rStyle w:val="NoteRefInText"/>
          <w:rFonts w:eastAsiaTheme="majorEastAsia"/>
        </w:rPr>
        <w:footnoteReference w:id="99"/>
      </w:r>
      <w:r w:rsidRPr="00F37018">
        <w:rPr>
          <w:rFonts w:ascii="Times New Roman" w:hAnsi="Times New Roman"/>
        </w:rPr>
        <w:t xml:space="preserve"> Hoping to “minimize political influence over ICC </w:t>
      </w:r>
      <w:r w:rsidRPr="00F37018">
        <w:rPr>
          <w:rFonts w:ascii="Times New Roman" w:hAnsi="Times New Roman"/>
        </w:rPr>
        <w:lastRenderedPageBreak/>
        <w:t>decisionmaking,” the ICC attempted to create an international criminal process completely independent of influence from powerful international organizations.</w:t>
      </w:r>
      <w:r w:rsidRPr="00F37018">
        <w:rPr>
          <w:rStyle w:val="NoteRefInText"/>
          <w:rFonts w:eastAsiaTheme="majorEastAsia"/>
        </w:rPr>
        <w:footnoteReference w:id="100"/>
      </w:r>
      <w:r w:rsidRPr="00F37018">
        <w:rPr>
          <w:rFonts w:ascii="Times New Roman" w:hAnsi="Times New Roman"/>
        </w:rPr>
        <w:t xml:space="preserve"> In its attempt, the ICC has employed a jurisdictional regime of complementarity to play “a subsidiary role and supplement[] the domestic investigation and prosecution of the most serious crimes of international concern.”</w:t>
      </w:r>
      <w:r w:rsidRPr="00F37018">
        <w:rPr>
          <w:rStyle w:val="NoteRefInText"/>
          <w:rFonts w:eastAsiaTheme="majorEastAsia"/>
        </w:rPr>
        <w:footnoteReference w:id="101"/>
      </w:r>
      <w:r w:rsidRPr="00F37018">
        <w:rPr>
          <w:rFonts w:ascii="Times New Roman" w:hAnsi="Times New Roman"/>
        </w:rPr>
        <w:t xml:space="preserve"> This complementarity regime has been described as “the underlying principle, the cornerstone of the Statute, or the key concept of the ICC.”</w:t>
      </w:r>
      <w:r w:rsidRPr="00F37018">
        <w:rPr>
          <w:rStyle w:val="NoteRefInText"/>
          <w:rFonts w:eastAsiaTheme="majorEastAsia"/>
        </w:rPr>
        <w:footnoteReference w:id="102"/>
      </w:r>
      <w:r w:rsidRPr="00F37018">
        <w:rPr>
          <w:rFonts w:ascii="Times New Roman" w:hAnsi="Times New Roman"/>
        </w:rPr>
        <w:t xml:space="preserve"> The regime, as a cornerstone and a “salient instrument to delineate the exercise of jurisdiction by the ICC from that of national authorities,”</w:t>
      </w:r>
      <w:r w:rsidRPr="00F37018">
        <w:rPr>
          <w:rStyle w:val="NoteRefInText"/>
          <w:rFonts w:eastAsiaTheme="majorEastAsia"/>
        </w:rPr>
        <w:footnoteReference w:id="103"/>
      </w:r>
      <w:r w:rsidRPr="00F37018">
        <w:rPr>
          <w:rFonts w:ascii="Times New Roman" w:hAnsi="Times New Roman"/>
        </w:rPr>
        <w:t xml:space="preserve"> makes the ICC’s function dependent “on the uncertain resolve of nations to use military or economic force to extricate” international criminals from their countries.</w:t>
      </w:r>
      <w:r w:rsidRPr="00F37018">
        <w:rPr>
          <w:rStyle w:val="NoteRefInText"/>
          <w:rFonts w:eastAsiaTheme="majorEastAsia"/>
        </w:rPr>
        <w:footnoteReference w:id="104"/>
      </w:r>
      <w:r w:rsidRPr="00F37018">
        <w:rPr>
          <w:rFonts w:ascii="Times New Roman" w:hAnsi="Times New Roman"/>
        </w:rPr>
        <w:t xml:space="preserve"> Because enforcement is based on reliance, it follows that a gap in motivations or incentives between the ICC and States Parties could undermine the entire process. One may, thus, conclude that the objective of supplementing national exercises of jurisdiction, rather than exercising sole jurisdiction, hinders the ICC’s goals.</w:t>
      </w:r>
    </w:p>
    <w:p w14:paraId="462F0486" w14:textId="05ABD45F" w:rsidR="00511561" w:rsidRPr="00F37018" w:rsidRDefault="00511561" w:rsidP="00B2682D">
      <w:pPr>
        <w:pStyle w:val="Document"/>
        <w:rPr>
          <w:rFonts w:ascii="Times New Roman" w:hAnsi="Times New Roman"/>
        </w:rPr>
      </w:pPr>
      <w:r w:rsidRPr="00F37018">
        <w:rPr>
          <w:rFonts w:ascii="Times New Roman" w:hAnsi="Times New Roman"/>
        </w:rPr>
        <w:t xml:space="preserve">Another underlying principle, “potentially rivalling with the concept of state sovereignty, is the </w:t>
      </w:r>
      <w:r w:rsidRPr="00F37018">
        <w:rPr>
          <w:rFonts w:ascii="Times New Roman" w:hAnsi="Times New Roman"/>
          <w:i/>
          <w:iCs/>
        </w:rPr>
        <w:t>interest of the international community</w:t>
      </w:r>
      <w:r w:rsidRPr="00F37018">
        <w:rPr>
          <w:rFonts w:ascii="Times New Roman" w:hAnsi="Times New Roman"/>
        </w:rPr>
        <w:t xml:space="preserve"> in the effective prosecution of international crimes, the endeavour to put an end to impunity, and the deterrence of the future commission of such crimes.”</w:t>
      </w:r>
      <w:r w:rsidRPr="00F37018">
        <w:rPr>
          <w:rStyle w:val="NoteRefInText"/>
          <w:rFonts w:eastAsiaTheme="majorEastAsia"/>
        </w:rPr>
        <w:footnoteReference w:id="105"/>
      </w:r>
      <w:r w:rsidRPr="00F37018">
        <w:rPr>
          <w:rFonts w:ascii="Times New Roman" w:hAnsi="Times New Roman"/>
        </w:rPr>
        <w:t xml:space="preserve"> The hindrance, borne from a gap in motivations or incentives, challenges the existence of cohesive interests in the international community. Disputes and disagreements over acts constituting violations of international law are most glaring here, but differing motivations and incentives are just as threatening to the regime. The ICC’s complementarity regime, held out by some as “an effective decentralized prosecution of international crimes,”</w:t>
      </w:r>
      <w:r w:rsidRPr="00F37018">
        <w:rPr>
          <w:rStyle w:val="NoteRefInText"/>
          <w:rFonts w:eastAsiaTheme="majorEastAsia"/>
        </w:rPr>
        <w:footnoteReference w:id="106"/>
      </w:r>
      <w:r w:rsidRPr="00F37018">
        <w:rPr>
          <w:rFonts w:ascii="Times New Roman" w:hAnsi="Times New Roman"/>
        </w:rPr>
        <w:t xml:space="preserve"> is inherently undermined by a potential gap in motivations and incentives of States Parties.</w:t>
      </w:r>
    </w:p>
    <w:p w14:paraId="23E235AB" w14:textId="452CB962" w:rsidR="00511561" w:rsidRPr="00F37018" w:rsidRDefault="00511561" w:rsidP="00B2682D">
      <w:pPr>
        <w:pStyle w:val="Document"/>
        <w:rPr>
          <w:rFonts w:ascii="Times New Roman" w:hAnsi="Times New Roman"/>
        </w:rPr>
      </w:pPr>
      <w:r w:rsidRPr="00F37018">
        <w:rPr>
          <w:rFonts w:ascii="Times New Roman" w:hAnsi="Times New Roman"/>
        </w:rPr>
        <w:t>The ICC’s complementarity regime is also threatened by interest determinations in reaction to non-States Parties’ actions. There is an argument that “abstract normative principles, once embodied in international law, will influence nations in favorable directions independent of their power and economic and political interests.”</w:t>
      </w:r>
      <w:r w:rsidRPr="00F37018">
        <w:rPr>
          <w:rStyle w:val="NoteRefInText"/>
          <w:rFonts w:eastAsiaTheme="majorEastAsia"/>
        </w:rPr>
        <w:footnoteReference w:id="107"/>
      </w:r>
      <w:r w:rsidRPr="00F37018">
        <w:rPr>
          <w:rFonts w:ascii="Times New Roman" w:hAnsi="Times New Roman"/>
        </w:rPr>
        <w:t xml:space="preserve"> </w:t>
      </w:r>
      <w:r w:rsidRPr="00F37018">
        <w:rPr>
          <w:rFonts w:ascii="Times New Roman" w:hAnsi="Times New Roman"/>
        </w:rPr>
        <w:lastRenderedPageBreak/>
        <w:t>This argument does not stand on stable footing, however, when the United States’ actions are considered.</w:t>
      </w:r>
    </w:p>
    <w:p w14:paraId="7BC31173" w14:textId="0451980A" w:rsidR="00511561" w:rsidRPr="00F37018" w:rsidRDefault="00511561" w:rsidP="00B2682D">
      <w:pPr>
        <w:pStyle w:val="Document"/>
        <w:rPr>
          <w:rFonts w:ascii="Times New Roman" w:hAnsi="Times New Roman"/>
        </w:rPr>
      </w:pPr>
      <w:r w:rsidRPr="00F37018">
        <w:rPr>
          <w:rFonts w:ascii="Times New Roman" w:hAnsi="Times New Roman"/>
        </w:rPr>
        <w:t>Since the ICC’s inception, “the fact that [the United States’] opposition runs deep is clear.”</w:t>
      </w:r>
      <w:r w:rsidRPr="00F37018">
        <w:rPr>
          <w:rStyle w:val="NoteRefInText"/>
          <w:rFonts w:eastAsiaTheme="majorEastAsia"/>
        </w:rPr>
        <w:footnoteReference w:id="108"/>
      </w:r>
      <w:r w:rsidRPr="00F37018">
        <w:rPr>
          <w:rFonts w:ascii="Times New Roman" w:hAnsi="Times New Roman"/>
        </w:rPr>
        <w:t xml:space="preserve"> Abstract normative principles may have brought the United States to the negotiating table, but they did not keep it there. “The United States [has] engage[d] in humanitarian intervention,”</w:t>
      </w:r>
      <w:r w:rsidRPr="00F37018">
        <w:rPr>
          <w:rStyle w:val="NoteRefInText"/>
          <w:rFonts w:eastAsiaTheme="majorEastAsia"/>
        </w:rPr>
        <w:footnoteReference w:id="109"/>
      </w:r>
      <w:r w:rsidRPr="00F37018">
        <w:rPr>
          <w:rFonts w:ascii="Times New Roman" w:hAnsi="Times New Roman"/>
        </w:rPr>
        <w:t xml:space="preserve"> but that intervention is conditioned on the promotion of the United States’ “strategic interests.”</w:t>
      </w:r>
      <w:r w:rsidRPr="00F37018">
        <w:rPr>
          <w:rStyle w:val="NoteRefInText"/>
          <w:rFonts w:eastAsiaTheme="majorEastAsia"/>
        </w:rPr>
        <w:footnoteReference w:id="110"/>
      </w:r>
      <w:r w:rsidRPr="00F37018">
        <w:rPr>
          <w:rFonts w:ascii="Times New Roman" w:hAnsi="Times New Roman"/>
        </w:rPr>
        <w:t xml:space="preserve"> The United States’ military, diplomatic, and financial power were the driving forces in previous international criminal tribunals, like the International Criminal Tribunal for the former Yugoslavia.</w:t>
      </w:r>
      <w:r w:rsidRPr="00F37018">
        <w:rPr>
          <w:rStyle w:val="NoteRefInText"/>
          <w:rFonts w:eastAsiaTheme="majorEastAsia"/>
        </w:rPr>
        <w:footnoteReference w:id="111"/>
      </w:r>
      <w:r w:rsidRPr="00F37018">
        <w:rPr>
          <w:rFonts w:ascii="Times New Roman" w:hAnsi="Times New Roman"/>
        </w:rPr>
        <w:t xml:space="preserve"> It is apparent that any United States opposition to the ICC “greatly magnif[ies] the ICC’s inherent enforcement gap.”</w:t>
      </w:r>
      <w:r w:rsidRPr="00F37018">
        <w:rPr>
          <w:rStyle w:val="NoteRefInText"/>
          <w:rFonts w:eastAsiaTheme="majorEastAsia"/>
        </w:rPr>
        <w:footnoteReference w:id="112"/>
      </w:r>
      <w:r w:rsidRPr="00F37018">
        <w:rPr>
          <w:rFonts w:ascii="Times New Roman" w:hAnsi="Times New Roman"/>
        </w:rPr>
        <w:t xml:space="preserve"> An analysis of the ICC’s arrest warrants then turns on the lack of enforcement and outside action that could “influence nations . . . independent of their power and economic and political interests.”</w:t>
      </w:r>
      <w:r w:rsidRPr="00F37018">
        <w:rPr>
          <w:rStyle w:val="NoteRefInText"/>
          <w:rFonts w:eastAsiaTheme="majorEastAsia"/>
        </w:rPr>
        <w:footnoteReference w:id="113"/>
      </w:r>
    </w:p>
    <w:p w14:paraId="058175A5" w14:textId="3BB4D106" w:rsidR="00511561" w:rsidRPr="00F37018" w:rsidRDefault="009A7D11" w:rsidP="00B2682D">
      <w:pPr>
        <w:pStyle w:val="Head2"/>
        <w:rPr>
          <w:rFonts w:ascii="Times New Roman" w:hAnsi="Times New Roman"/>
        </w:rPr>
      </w:pPr>
      <w:bookmarkStart w:id="10" w:name="_Toc226031986"/>
      <w:r>
        <w:rPr>
          <w:rFonts w:ascii="Times New Roman" w:hAnsi="Times New Roman"/>
        </w:rPr>
        <w:t>C</w:t>
      </w:r>
      <w:r w:rsidR="00511561" w:rsidRPr="00F37018">
        <w:rPr>
          <w:rFonts w:ascii="Times New Roman" w:hAnsi="Times New Roman"/>
        </w:rPr>
        <w:t>.</w:t>
      </w:r>
      <w:r w:rsidR="00511561" w:rsidRPr="00F37018">
        <w:rPr>
          <w:rFonts w:ascii="Times New Roman" w:hAnsi="Times New Roman"/>
        </w:rPr>
        <w:tab/>
        <w:t>International Law as an Exercise of Game Theory</w:t>
      </w:r>
      <w:bookmarkEnd w:id="10"/>
    </w:p>
    <w:p w14:paraId="528B0100" w14:textId="3F9DBCCE" w:rsidR="00511561" w:rsidRPr="00F37018" w:rsidRDefault="00511561" w:rsidP="00B2682D">
      <w:pPr>
        <w:pStyle w:val="Document"/>
        <w:rPr>
          <w:rFonts w:ascii="Times New Roman" w:hAnsi="Times New Roman"/>
        </w:rPr>
      </w:pPr>
      <w:r w:rsidRPr="00F37018">
        <w:rPr>
          <w:rFonts w:ascii="Times New Roman" w:hAnsi="Times New Roman"/>
        </w:rPr>
        <w:t>Because the ICC relies on States Parties as the only available means of enforcement, its actions are an exercise of game theory within international relations. Effective analysis and prediction of States Parties’ actions relating to the arrest warrants here is best served by game theory. Game theory can determine and contextualize the motivations States Parties rely on when complying with the Statute. It is important to recognize that States Parties are bound not only by the Statute itself, but by other treaty obligations and, though informally, broader geopolitical implications resulting from their decisions.</w:t>
      </w:r>
      <w:r w:rsidRPr="00F37018">
        <w:rPr>
          <w:rStyle w:val="NoteRefInText"/>
          <w:rFonts w:eastAsiaTheme="majorEastAsia"/>
        </w:rPr>
        <w:footnoteReference w:id="114"/>
      </w:r>
      <w:r w:rsidRPr="00F37018">
        <w:rPr>
          <w:rFonts w:ascii="Times New Roman" w:hAnsi="Times New Roman"/>
        </w:rPr>
        <w:t xml:space="preserve"> Focusing the arrest warrants’ analysis on the Statute alone misses the forest for the trees. Because the Statute itself is “complementary to national criminal jurisdictions” and not </w:t>
      </w:r>
      <w:r w:rsidRPr="00F37018">
        <w:rPr>
          <w:rFonts w:ascii="Times New Roman" w:hAnsi="Times New Roman"/>
        </w:rPr>
        <w:lastRenderedPageBreak/>
        <w:t>binding on those national criminal jurisdictions, it is more so a multilateral treaty than an actual statute.</w:t>
      </w:r>
      <w:r w:rsidRPr="00F37018">
        <w:rPr>
          <w:rStyle w:val="NoteRefInText"/>
          <w:rFonts w:eastAsiaTheme="majorEastAsia"/>
        </w:rPr>
        <w:footnoteReference w:id="115"/>
      </w:r>
      <w:r w:rsidRPr="00F37018">
        <w:rPr>
          <w:rFonts w:ascii="Times New Roman" w:hAnsi="Times New Roman"/>
        </w:rPr>
        <w:t xml:space="preserve"> Thus, determining “how a ‘rational’ decision-maker would act” under the Statute requires analysis not just of imposed obligations, but also of the “normative (or prescriptive) theory” that “anchor[s States Parties] in a specific value system.”</w:t>
      </w:r>
      <w:r w:rsidRPr="00F37018">
        <w:rPr>
          <w:rStyle w:val="NoteRefInText"/>
          <w:rFonts w:eastAsiaTheme="majorEastAsia"/>
        </w:rPr>
        <w:footnoteReference w:id="116"/>
      </w:r>
    </w:p>
    <w:p w14:paraId="39B23079" w14:textId="226B6909" w:rsidR="00511561" w:rsidRPr="00F37018" w:rsidRDefault="00511561" w:rsidP="00B2682D">
      <w:pPr>
        <w:pStyle w:val="Document"/>
        <w:rPr>
          <w:rFonts w:ascii="Times New Roman" w:hAnsi="Times New Roman"/>
        </w:rPr>
      </w:pPr>
      <w:r w:rsidRPr="00F37018">
        <w:rPr>
          <w:rFonts w:ascii="Times New Roman" w:hAnsi="Times New Roman"/>
        </w:rPr>
        <w:t>Decision theory, a close cognate of game theory, is a framework that analyzes actors’ decisions and underlying motivations to better understand them where the decisions of others are uncertain.</w:t>
      </w:r>
      <w:r w:rsidRPr="00F37018">
        <w:rPr>
          <w:rStyle w:val="NoteRefInText"/>
          <w:rFonts w:eastAsiaTheme="majorEastAsia"/>
        </w:rPr>
        <w:footnoteReference w:id="117"/>
      </w:r>
      <w:r w:rsidRPr="00F37018">
        <w:rPr>
          <w:rFonts w:ascii="Times New Roman" w:hAnsi="Times New Roman"/>
        </w:rPr>
        <w:t xml:space="preserve"> Decision theory, logically, informs game theory analysis. If a framework explains how an actor makes choices under uncertainty of others’ choices, it can supply principles relevant to analyzing strategic interactions among multiple actors. Decision theory explains how a single actor makes choices under uncertainty about others’ choices.</w:t>
      </w:r>
      <w:r w:rsidRPr="00F37018">
        <w:rPr>
          <w:rStyle w:val="NoteRefInText"/>
          <w:rFonts w:eastAsiaTheme="majorEastAsia"/>
        </w:rPr>
        <w:footnoteReference w:id="118"/>
      </w:r>
      <w:r w:rsidRPr="00F37018">
        <w:rPr>
          <w:rFonts w:ascii="Times New Roman" w:hAnsi="Times New Roman"/>
        </w:rPr>
        <w:t xml:space="preserve"> Thus, decision theory can supply principles relevant to analyzing strategic interactions in game theory. Because decision theory supplies the foundational logic for how actors should choose under uncertainty, its principles naturally carry over to the normative branch of game theory, which evaluates how decisions ought to be made in multi-actor settings. Consequently, the same decision-theoretic structure that informs game theory also supports the normative framework used to assess the ICC’s guiding principles.</w:t>
      </w:r>
    </w:p>
    <w:p w14:paraId="03FA52C6" w14:textId="251859C5" w:rsidR="00511561" w:rsidRPr="00F37018" w:rsidRDefault="00511561" w:rsidP="00B2682D">
      <w:pPr>
        <w:pStyle w:val="Document"/>
        <w:rPr>
          <w:rFonts w:ascii="Times New Roman" w:hAnsi="Times New Roman"/>
        </w:rPr>
      </w:pPr>
      <w:r w:rsidRPr="00F37018">
        <w:rPr>
          <w:rFonts w:ascii="Times New Roman" w:hAnsi="Times New Roman"/>
        </w:rPr>
        <w:t>The “normative (or prescriptive)” branch of game theory closely resembles the overarching principles of the ICC, in that “normative theory” attempts to “discover rules for making decisions, which are in some sense ‘best.’”</w:t>
      </w:r>
      <w:r w:rsidRPr="00F37018">
        <w:rPr>
          <w:rStyle w:val="NoteRefInText"/>
          <w:rFonts w:eastAsiaTheme="majorEastAsia"/>
        </w:rPr>
        <w:footnoteReference w:id="119"/>
      </w:r>
      <w:r w:rsidRPr="00F37018">
        <w:rPr>
          <w:rFonts w:ascii="Times New Roman" w:hAnsi="Times New Roman"/>
        </w:rPr>
        <w:t xml:space="preserve"> This mirrors the “abstract normative principles” analyzed heavily by scholars discussing the ICC.</w:t>
      </w:r>
      <w:r w:rsidRPr="00F37018">
        <w:rPr>
          <w:rStyle w:val="NoteRefInText"/>
          <w:rFonts w:eastAsiaTheme="majorEastAsia"/>
        </w:rPr>
        <w:footnoteReference w:id="120"/>
      </w:r>
      <w:r w:rsidRPr="00F37018">
        <w:rPr>
          <w:rFonts w:ascii="Times New Roman" w:hAnsi="Times New Roman"/>
        </w:rPr>
        <w:t xml:space="preserve"> Thus, analysis should begin here, viewing the Statute as the manifestation of these normative principles, informing individual States Parties in their actions.</w:t>
      </w:r>
    </w:p>
    <w:p w14:paraId="35462DFA" w14:textId="7D38DEC5" w:rsidR="00511561" w:rsidRPr="00F37018" w:rsidRDefault="00511561" w:rsidP="00B2682D">
      <w:pPr>
        <w:pStyle w:val="Document"/>
        <w:rPr>
          <w:rFonts w:ascii="Times New Roman" w:hAnsi="Times New Roman"/>
        </w:rPr>
      </w:pPr>
      <w:r w:rsidRPr="00F37018">
        <w:rPr>
          <w:rFonts w:ascii="Times New Roman" w:hAnsi="Times New Roman"/>
        </w:rPr>
        <w:t>Within decision and game theory, it is important to distinguish between scenarios of a single decision-maker and multiple decision-makers.</w:t>
      </w:r>
      <w:r w:rsidRPr="00F37018">
        <w:rPr>
          <w:rStyle w:val="NoteRefInText"/>
          <w:rFonts w:eastAsiaTheme="majorEastAsia"/>
        </w:rPr>
        <w:footnoteReference w:id="121"/>
      </w:r>
      <w:r w:rsidRPr="00F37018">
        <w:rPr>
          <w:rFonts w:ascii="Times New Roman" w:hAnsi="Times New Roman"/>
        </w:rPr>
        <w:t xml:space="preserve"> The outcomes of a decision-maker’s choices within </w:t>
      </w:r>
      <w:r w:rsidRPr="00F37018">
        <w:rPr>
          <w:rFonts w:ascii="Times New Roman" w:hAnsi="Times New Roman"/>
        </w:rPr>
        <w:lastRenderedPageBreak/>
        <w:t>either scenario possess some level of utility.</w:t>
      </w:r>
      <w:r w:rsidRPr="00F37018">
        <w:rPr>
          <w:rStyle w:val="FootnoteReference"/>
          <w:rFonts w:ascii="Times New Roman" w:eastAsiaTheme="majorEastAsia" w:hAnsi="Times New Roman"/>
          <w:szCs w:val="24"/>
        </w:rPr>
        <w:t xml:space="preserve"> </w:t>
      </w:r>
      <w:r w:rsidRPr="00F37018">
        <w:rPr>
          <w:rStyle w:val="NoteRefInText"/>
          <w:rFonts w:eastAsiaTheme="majorEastAsia"/>
        </w:rPr>
        <w:footnoteReference w:id="122"/>
      </w:r>
      <w:r w:rsidRPr="00F37018">
        <w:rPr>
          <w:rFonts w:ascii="Times New Roman" w:hAnsi="Times New Roman"/>
        </w:rPr>
        <w:t xml:space="preserve"> Choices are theoretically based on a decision-maker’s perception of the probability that a choice will maximize the </w:t>
      </w:r>
      <w:r w:rsidRPr="00F37018">
        <w:rPr>
          <w:rFonts w:ascii="Times New Roman" w:hAnsi="Times New Roman"/>
          <w:i/>
          <w:iCs/>
        </w:rPr>
        <w:t>expected</w:t>
      </w:r>
      <w:r w:rsidRPr="00F37018">
        <w:rPr>
          <w:rFonts w:ascii="Times New Roman" w:hAnsi="Times New Roman"/>
        </w:rPr>
        <w:t xml:space="preserve"> utility of the outcome.</w:t>
      </w:r>
      <w:r w:rsidRPr="00F37018">
        <w:rPr>
          <w:rStyle w:val="NoteRefInText"/>
          <w:rFonts w:eastAsiaTheme="majorEastAsia"/>
        </w:rPr>
        <w:footnoteReference w:id="123"/>
      </w:r>
      <w:r w:rsidRPr="00F37018">
        <w:rPr>
          <w:rFonts w:ascii="Times New Roman" w:hAnsi="Times New Roman"/>
        </w:rPr>
        <w:t xml:space="preserve"> This is called utility maximization.</w:t>
      </w:r>
      <w:r w:rsidRPr="00F37018">
        <w:rPr>
          <w:rStyle w:val="NoteRefInText"/>
          <w:rFonts w:eastAsiaTheme="majorEastAsia"/>
        </w:rPr>
        <w:footnoteReference w:id="124"/>
      </w:r>
      <w:r w:rsidRPr="00F37018">
        <w:rPr>
          <w:rFonts w:ascii="Times New Roman" w:hAnsi="Times New Roman"/>
        </w:rPr>
        <w:t xml:space="preserve"> Utility maximization is integral to understanding the dynamic between game theory and international law.</w:t>
      </w:r>
      <w:r w:rsidRPr="00F37018">
        <w:rPr>
          <w:rStyle w:val="NoteRefInText"/>
          <w:rFonts w:eastAsiaTheme="majorEastAsia"/>
        </w:rPr>
        <w:footnoteReference w:id="125"/>
      </w:r>
      <w:r w:rsidRPr="00F37018">
        <w:rPr>
          <w:rFonts w:ascii="Times New Roman" w:hAnsi="Times New Roman"/>
        </w:rPr>
        <w:t xml:space="preserve"> When multiple decision-makers, each with interests different from other decision-makers, are at play, “the range of decisions open to each decision-maker can be specified [and] utilities can be assigned to each of the outcomes by each decision-maker.”</w:t>
      </w:r>
      <w:r w:rsidRPr="00F37018">
        <w:rPr>
          <w:rStyle w:val="NoteRefInText"/>
          <w:rFonts w:eastAsiaTheme="majorEastAsia"/>
        </w:rPr>
        <w:footnoteReference w:id="126"/>
      </w:r>
      <w:r w:rsidRPr="00F37018">
        <w:rPr>
          <w:rFonts w:ascii="Times New Roman" w:hAnsi="Times New Roman"/>
        </w:rPr>
        <w:t xml:space="preserve"> If these utilities are known to all the decision-makers, who jointly determine the outcome by the totality of their separate decisions,” the decision-making is “a game and the decision-makers are called players.”</w:t>
      </w:r>
      <w:r w:rsidRPr="00F37018">
        <w:rPr>
          <w:rStyle w:val="NoteRefInText"/>
          <w:rFonts w:eastAsiaTheme="majorEastAsia"/>
        </w:rPr>
        <w:footnoteReference w:id="127"/>
      </w:r>
      <w:r w:rsidRPr="00F37018">
        <w:rPr>
          <w:rFonts w:ascii="Times New Roman" w:hAnsi="Times New Roman"/>
        </w:rPr>
        <w:t xml:space="preserve"> In the context of the Statute, the decisions of multiple States Parties, affecting one another, are always at play.</w:t>
      </w:r>
    </w:p>
    <w:p w14:paraId="605EA490" w14:textId="1BCC91FC" w:rsidR="00511561" w:rsidRPr="00F37018" w:rsidRDefault="00511561" w:rsidP="00B2682D">
      <w:pPr>
        <w:pStyle w:val="Document"/>
        <w:rPr>
          <w:rFonts w:ascii="Times New Roman" w:hAnsi="Times New Roman"/>
        </w:rPr>
      </w:pPr>
      <w:r w:rsidRPr="00F37018">
        <w:rPr>
          <w:rFonts w:ascii="Times New Roman" w:hAnsi="Times New Roman"/>
        </w:rPr>
        <w:t>Game theory analysis of international law is not a novel concept, and two schools of thought have emerged in this area. “One school of thought conclude[s] that states generally act in their self-interest and seek to ignore the prescriptive power of international legal norms when the norms are sufficiently inconvenient.”</w:t>
      </w:r>
      <w:r w:rsidRPr="00F37018">
        <w:rPr>
          <w:rStyle w:val="NoteRefInText"/>
          <w:rFonts w:eastAsiaTheme="majorEastAsia"/>
        </w:rPr>
        <w:footnoteReference w:id="128"/>
      </w:r>
      <w:r w:rsidRPr="00F37018">
        <w:rPr>
          <w:rFonts w:ascii="Times New Roman" w:hAnsi="Times New Roman"/>
        </w:rPr>
        <w:t xml:space="preserve"> When legal norms, like the Statute here, interfere with other treaty obligations, or what States Parties perceive as other treaty obligations,</w:t>
      </w:r>
      <w:r w:rsidRPr="00F37018">
        <w:rPr>
          <w:rStyle w:val="NoteRefInText"/>
          <w:rFonts w:eastAsiaTheme="majorEastAsia"/>
        </w:rPr>
        <w:footnoteReference w:id="129"/>
      </w:r>
      <w:r w:rsidRPr="00F37018">
        <w:rPr>
          <w:rFonts w:ascii="Times New Roman" w:hAnsi="Times New Roman"/>
        </w:rPr>
        <w:t xml:space="preserve"> those norms are considerably inconvenient. Whether the inconvenience is sufficient for violation is a decision left to the State Party. As evidenced by Mongolia’s referral to the Assembly of States Parties, States Parties are willing to make that decision.</w:t>
      </w:r>
      <w:r w:rsidRPr="00F37018">
        <w:rPr>
          <w:rStyle w:val="NoteRefInText"/>
          <w:rFonts w:eastAsiaTheme="majorEastAsia"/>
        </w:rPr>
        <w:footnoteReference w:id="130"/>
      </w:r>
      <w:r w:rsidRPr="00F37018">
        <w:rPr>
          <w:rFonts w:ascii="Times New Roman" w:hAnsi="Times New Roman"/>
        </w:rPr>
        <w:t xml:space="preserve"> Another school of thought concludes, however, “that states are generally more </w:t>
      </w:r>
      <w:r w:rsidRPr="00F37018">
        <w:rPr>
          <w:rFonts w:ascii="Times New Roman" w:hAnsi="Times New Roman"/>
        </w:rPr>
        <w:lastRenderedPageBreak/>
        <w:t>receptive to international norms for a variety of reasons.”</w:t>
      </w:r>
      <w:r w:rsidRPr="00F37018">
        <w:rPr>
          <w:rStyle w:val="NoteRefInText"/>
          <w:rFonts w:eastAsiaTheme="majorEastAsia"/>
        </w:rPr>
        <w:footnoteReference w:id="131"/>
      </w:r>
      <w:r w:rsidRPr="00F37018">
        <w:rPr>
          <w:rFonts w:ascii="Times New Roman" w:hAnsi="Times New Roman"/>
        </w:rPr>
        <w:t xml:space="preserve"> One reason emphasized by scholars is that “some countries view participation in the global legal order . . . as an essential part of their identity and constitutive communities.”</w:t>
      </w:r>
      <w:r w:rsidRPr="00F37018">
        <w:rPr>
          <w:rStyle w:val="NoteRefInText"/>
          <w:rFonts w:eastAsiaTheme="majorEastAsia"/>
        </w:rPr>
        <w:footnoteReference w:id="132"/>
      </w:r>
      <w:r w:rsidRPr="00F37018">
        <w:rPr>
          <w:rFonts w:ascii="Times New Roman" w:hAnsi="Times New Roman"/>
        </w:rPr>
        <w:t xml:space="preserve"> The following analysis will view the arrest warrants under both lenses, informed and contextualized by the ICC’s Mongolia decision, ultimately establishing the more applicable lens.</w:t>
      </w:r>
    </w:p>
    <w:p w14:paraId="29DC12DD" w14:textId="7981B837" w:rsidR="00511561" w:rsidRPr="00F37018" w:rsidRDefault="00511561" w:rsidP="00B2682D">
      <w:pPr>
        <w:pStyle w:val="Head1"/>
        <w:rPr>
          <w:rFonts w:ascii="Times New Roman" w:hAnsi="Times New Roman"/>
        </w:rPr>
      </w:pPr>
      <w:bookmarkStart w:id="11" w:name="_Toc226031987"/>
      <w:r w:rsidRPr="00F37018">
        <w:rPr>
          <w:rFonts w:ascii="Times New Roman" w:hAnsi="Times New Roman"/>
        </w:rPr>
        <w:t>IV.</w:t>
      </w:r>
      <w:r w:rsidRPr="00F37018">
        <w:rPr>
          <w:rFonts w:ascii="Times New Roman" w:hAnsi="Times New Roman"/>
        </w:rPr>
        <w:tab/>
        <w:t>Analysis</w:t>
      </w:r>
      <w:bookmarkEnd w:id="11"/>
    </w:p>
    <w:p w14:paraId="7ACC66FF" w14:textId="47BA6B86" w:rsidR="00511561" w:rsidRPr="00F37018" w:rsidRDefault="009A7D11" w:rsidP="00B2682D">
      <w:pPr>
        <w:pStyle w:val="Head2"/>
        <w:rPr>
          <w:rFonts w:ascii="Times New Roman" w:hAnsi="Times New Roman"/>
        </w:rPr>
      </w:pPr>
      <w:bookmarkStart w:id="12" w:name="_Toc226031988"/>
      <w:r>
        <w:rPr>
          <w:rFonts w:ascii="Times New Roman" w:hAnsi="Times New Roman"/>
        </w:rPr>
        <w:t>A</w:t>
      </w:r>
      <w:r w:rsidR="00511561" w:rsidRPr="00F37018">
        <w:rPr>
          <w:rFonts w:ascii="Times New Roman" w:hAnsi="Times New Roman"/>
        </w:rPr>
        <w:t>.</w:t>
      </w:r>
      <w:r w:rsidR="00511561" w:rsidRPr="00F37018">
        <w:rPr>
          <w:rFonts w:ascii="Times New Roman" w:hAnsi="Times New Roman"/>
        </w:rPr>
        <w:tab/>
        <w:t>The Israel-Palestine Conflict’s Possible Outcome Under the Rome Statute</w:t>
      </w:r>
      <w:bookmarkEnd w:id="12"/>
    </w:p>
    <w:p w14:paraId="0E98461E" w14:textId="08C7FB48" w:rsidR="00511561" w:rsidRPr="00F37018" w:rsidRDefault="00511561" w:rsidP="00B2682D">
      <w:pPr>
        <w:pStyle w:val="Document"/>
        <w:rPr>
          <w:rFonts w:ascii="Times New Roman" w:hAnsi="Times New Roman"/>
        </w:rPr>
      </w:pPr>
      <w:r w:rsidRPr="00F37018">
        <w:rPr>
          <w:rFonts w:ascii="Times New Roman" w:hAnsi="Times New Roman"/>
        </w:rPr>
        <w:t>Accession to the Rome Statute has been completed by 125 countries as of 2025.</w:t>
      </w:r>
      <w:r w:rsidRPr="00F37018">
        <w:rPr>
          <w:rStyle w:val="NoteRefInText"/>
          <w:rFonts w:eastAsiaTheme="majorEastAsia"/>
        </w:rPr>
        <w:footnoteReference w:id="133"/>
      </w:r>
      <w:r w:rsidRPr="00F37018">
        <w:rPr>
          <w:rFonts w:ascii="Times New Roman" w:hAnsi="Times New Roman"/>
        </w:rPr>
        <w:t xml:space="preserve"> Of these countries, twenty States Parties are from Eastern Europe and twenty-five are from Western Europe and other States.</w:t>
      </w:r>
      <w:r w:rsidRPr="00F37018">
        <w:rPr>
          <w:rStyle w:val="NoteRefInText"/>
          <w:rFonts w:eastAsiaTheme="majorEastAsia"/>
        </w:rPr>
        <w:footnoteReference w:id="134"/>
      </w:r>
      <w:r w:rsidRPr="00F37018">
        <w:rPr>
          <w:rFonts w:ascii="Times New Roman" w:hAnsi="Times New Roman"/>
        </w:rPr>
        <w:t xml:space="preserve"> Dissension toward the ICC’s arrest warrants has grown, specifically toward Netanyahu’s warrant, among European States Parties.</w:t>
      </w:r>
      <w:r w:rsidRPr="00F37018">
        <w:rPr>
          <w:rStyle w:val="NoteRefInText"/>
          <w:rFonts w:eastAsiaTheme="majorEastAsia"/>
        </w:rPr>
        <w:footnoteReference w:id="135"/>
      </w:r>
      <w:r w:rsidRPr="00F37018">
        <w:rPr>
          <w:rFonts w:ascii="Times New Roman" w:hAnsi="Times New Roman"/>
        </w:rPr>
        <w:t xml:space="preserve"> Before the most recent German election, Hungary was the only EU country to explicitly endorse defiance toward the ICC’s arrest warrant.</w:t>
      </w:r>
      <w:r w:rsidRPr="00F37018">
        <w:rPr>
          <w:rStyle w:val="NoteRefInText"/>
          <w:rFonts w:eastAsiaTheme="majorEastAsia"/>
        </w:rPr>
        <w:footnoteReference w:id="136"/>
      </w:r>
      <w:r w:rsidRPr="00F37018">
        <w:rPr>
          <w:rFonts w:ascii="Times New Roman" w:hAnsi="Times New Roman"/>
        </w:rPr>
        <w:t xml:space="preserve"> Some of the biggest players in the EU have taken a non-committal route that Human Rights Watch claims “breeds a climate of impunity.”</w:t>
      </w:r>
      <w:r w:rsidRPr="00F37018">
        <w:rPr>
          <w:rStyle w:val="NoteRefInText"/>
          <w:rFonts w:eastAsiaTheme="majorEastAsia"/>
        </w:rPr>
        <w:footnoteReference w:id="137"/>
      </w:r>
      <w:r w:rsidRPr="00F37018">
        <w:rPr>
          <w:rFonts w:ascii="Times New Roman" w:hAnsi="Times New Roman"/>
        </w:rPr>
        <w:t xml:space="preserve"> Germany (before its most recent election), France, and Italy—the three most populous countries in the EU—all took a non-committal stance, in less-than-abject defiance to the ICC.</w:t>
      </w:r>
      <w:r w:rsidRPr="00F37018">
        <w:rPr>
          <w:rStyle w:val="NoteRefInText"/>
          <w:rFonts w:eastAsiaTheme="majorEastAsia"/>
        </w:rPr>
        <w:footnoteReference w:id="138"/>
      </w:r>
      <w:r w:rsidRPr="00F37018">
        <w:rPr>
          <w:rFonts w:ascii="Times New Roman" w:hAnsi="Times New Roman"/>
        </w:rPr>
        <w:t xml:space="preserve"> Germany, specifically, was “torn between its unwavering support to the [ICC] and its historic responsibility toward[] Israel . . . . But a government spokesperson recently said he had ‘difficulty imagining’ Germany would ever detain Netanyahu on its territory.”</w:t>
      </w:r>
      <w:r w:rsidRPr="00F37018">
        <w:rPr>
          <w:rStyle w:val="NoteRefInText"/>
          <w:rFonts w:eastAsiaTheme="majorEastAsia"/>
        </w:rPr>
        <w:footnoteReference w:id="139"/>
      </w:r>
      <w:r w:rsidRPr="00F37018">
        <w:rPr>
          <w:rFonts w:ascii="Times New Roman" w:hAnsi="Times New Roman"/>
        </w:rPr>
        <w:t xml:space="preserve"> Germany has since stated that Netanyahu would not be arrested if he visits Germany.</w:t>
      </w:r>
      <w:r w:rsidRPr="00F37018">
        <w:rPr>
          <w:rStyle w:val="NoteRefInText"/>
          <w:rFonts w:eastAsiaTheme="majorEastAsia"/>
        </w:rPr>
        <w:footnoteReference w:id="140"/>
      </w:r>
    </w:p>
    <w:p w14:paraId="4BEAD955" w14:textId="6C53F29F" w:rsidR="00511561" w:rsidRPr="00F37018" w:rsidRDefault="00511561" w:rsidP="00B2682D">
      <w:pPr>
        <w:pStyle w:val="Document"/>
        <w:rPr>
          <w:rFonts w:ascii="Times New Roman" w:hAnsi="Times New Roman"/>
        </w:rPr>
      </w:pPr>
      <w:r w:rsidRPr="00F37018">
        <w:rPr>
          <w:rFonts w:ascii="Times New Roman" w:hAnsi="Times New Roman"/>
        </w:rPr>
        <w:t xml:space="preserve">Other countries, interestingly, have taken a more middle-ground </w:t>
      </w:r>
      <w:r w:rsidRPr="00F37018">
        <w:rPr>
          <w:rFonts w:ascii="Times New Roman" w:hAnsi="Times New Roman"/>
        </w:rPr>
        <w:lastRenderedPageBreak/>
        <w:t>position. Austria’s Foreign Minister Alexander Schallenberg, for example, “described the warrant as ‘utterly incomprehensible’ and ‘absurd,’ but added that ‘international law is non-negotiable and applies everywhere, at all times.’”</w:t>
      </w:r>
      <w:r w:rsidRPr="00F37018">
        <w:rPr>
          <w:rStyle w:val="NoteRefInText"/>
          <w:rFonts w:eastAsiaTheme="majorEastAsia"/>
        </w:rPr>
        <w:footnoteReference w:id="141"/>
      </w:r>
      <w:r w:rsidRPr="00F37018">
        <w:rPr>
          <w:rFonts w:ascii="Times New Roman" w:hAnsi="Times New Roman"/>
        </w:rPr>
        <w:t xml:space="preserve"> Whether this rhetoric will come to fruition is yet to be seen. As Hungary and Germany defy the ICC and the French and Italian governments tiptoe around the issue, “Belgium, the Netherlands, Ireland, Lithuania, Slovenia, and Spain have given the strongest indications they would enforce the arrest warrant.”</w:t>
      </w:r>
      <w:r w:rsidRPr="00F37018">
        <w:rPr>
          <w:rStyle w:val="NoteRefInText"/>
          <w:rFonts w:eastAsiaTheme="majorEastAsia"/>
        </w:rPr>
        <w:footnoteReference w:id="142"/>
      </w:r>
      <w:r w:rsidRPr="00F37018">
        <w:rPr>
          <w:rFonts w:ascii="Times New Roman" w:hAnsi="Times New Roman"/>
        </w:rPr>
        <w:t xml:space="preserve"> But for some of these countries, a visit from Netanyahu is unlikely. Of these enforcement-intending States Parties, Netanyahu has visited only Belgium, the Netherlands, and Lithuania.</w:t>
      </w:r>
      <w:r w:rsidRPr="00F37018">
        <w:rPr>
          <w:rStyle w:val="NoteRefInText"/>
          <w:rFonts w:eastAsiaTheme="majorEastAsia"/>
        </w:rPr>
        <w:footnoteReference w:id="143"/>
      </w:r>
    </w:p>
    <w:p w14:paraId="184B5CD4" w14:textId="387792B5" w:rsidR="00511561" w:rsidRPr="00F37018" w:rsidRDefault="00511561" w:rsidP="00B2682D">
      <w:pPr>
        <w:pStyle w:val="Document"/>
        <w:rPr>
          <w:rFonts w:ascii="Times New Roman" w:hAnsi="Times New Roman"/>
        </w:rPr>
      </w:pPr>
      <w:r w:rsidRPr="00F37018">
        <w:rPr>
          <w:rFonts w:ascii="Times New Roman" w:hAnsi="Times New Roman"/>
        </w:rPr>
        <w:t>It stands to reason that Hungary, Germany, and any States Parties that follow in their footsteps will not arrest Netanyahu if the opportunity presents itself. If Hungary violates the Statute, it is likely to find itself in front of the Assembly of States Parties, but Hungary does not seem deterred by that consequence. Germany likely is not deterred by the prospect of referral either. Having weighed its interests, Germany stands defiant against the ICC. Whether other countries follow the lead of Europe’s largest economic power could be detrimental to the ICC’s function.</w:t>
      </w:r>
      <w:r w:rsidRPr="00F37018">
        <w:rPr>
          <w:rStyle w:val="NoteRefInText"/>
          <w:rFonts w:eastAsiaTheme="majorEastAsia"/>
        </w:rPr>
        <w:footnoteReference w:id="144"/>
      </w:r>
    </w:p>
    <w:p w14:paraId="1E34DF40" w14:textId="77777777" w:rsidR="00511561" w:rsidRPr="00F37018" w:rsidRDefault="00511561" w:rsidP="00B2682D">
      <w:pPr>
        <w:pStyle w:val="Document"/>
        <w:rPr>
          <w:rFonts w:ascii="Times New Roman" w:hAnsi="Times New Roman"/>
        </w:rPr>
      </w:pPr>
      <w:r w:rsidRPr="00F37018">
        <w:rPr>
          <w:rFonts w:ascii="Times New Roman" w:hAnsi="Times New Roman"/>
        </w:rPr>
        <w:t xml:space="preserve">The group of countries that, as of now, have not provided a definite course of action on arresting Netanyahu have more to consider than the Statute. These countries are likely to weigh the incentives of arresting Netanyahu, thereby complying with the Statute, against the consequences of rejecting their obligations to the ICC. It is currently unknown how these countries will act, but </w:t>
      </w:r>
      <w:r w:rsidRPr="00F37018">
        <w:rPr>
          <w:rFonts w:ascii="Times New Roman" w:hAnsi="Times New Roman"/>
        </w:rPr>
        <w:lastRenderedPageBreak/>
        <w:t>the weighing of incentives and interests will be discussed extensively below. These countries and Germany, specifically post-election, provide stark evidence of the nature of international law as an exercise of game theory.</w:t>
      </w:r>
    </w:p>
    <w:p w14:paraId="6D656780" w14:textId="7272EE14" w:rsidR="00511561" w:rsidRPr="00F37018" w:rsidRDefault="00511561" w:rsidP="00B2682D">
      <w:pPr>
        <w:pStyle w:val="Document"/>
        <w:rPr>
          <w:rFonts w:ascii="Times New Roman" w:hAnsi="Times New Roman"/>
        </w:rPr>
      </w:pPr>
      <w:r w:rsidRPr="00F37018">
        <w:rPr>
          <w:rFonts w:ascii="Times New Roman" w:hAnsi="Times New Roman"/>
        </w:rPr>
        <w:t>If this non-committal group of countries complies with the Rome Statute, one may conclude that this action would be the strongest evidence available that the “abstract normative principles, once embodied in international law,” can “influence nations in favorable directions independent of their power and economic and political interests.”</w:t>
      </w:r>
      <w:r w:rsidRPr="00F37018">
        <w:rPr>
          <w:rStyle w:val="NoteRefInText"/>
          <w:rFonts w:eastAsiaTheme="majorEastAsia"/>
        </w:rPr>
        <w:footnoteReference w:id="145"/>
      </w:r>
      <w:r w:rsidRPr="00F37018">
        <w:rPr>
          <w:rFonts w:ascii="Times New Roman" w:hAnsi="Times New Roman"/>
        </w:rPr>
        <w:t xml:space="preserve"> It seems unlikely, however, that those principles outweigh strong incentives and interests for countries, like Germany, that feel a level of commitment to the state of Israel. Other countries may differ, but Germany’s balance of interests between Israel and the ICC provides insight into the underlying rationale of a compliance decision. Germany, a country with a strong incentive to support the state of Israel, evidently found a stronger interest in non-compliance with the Statute.</w:t>
      </w:r>
    </w:p>
    <w:p w14:paraId="66407DC1" w14:textId="5F2C3218" w:rsidR="00511561" w:rsidRPr="00F37018" w:rsidRDefault="00511561" w:rsidP="00B2682D">
      <w:pPr>
        <w:pStyle w:val="Document"/>
        <w:rPr>
          <w:rFonts w:ascii="Times New Roman" w:hAnsi="Times New Roman"/>
        </w:rPr>
      </w:pPr>
      <w:r w:rsidRPr="00F37018">
        <w:rPr>
          <w:rFonts w:ascii="Times New Roman" w:hAnsi="Times New Roman"/>
        </w:rPr>
        <w:t xml:space="preserve">The final group of countries, those that have already expressed a willingness to arrest Netanyahu, are still unlikely to do so, because Netanyahu’s arrest requires his travel to those countries. The Statute allows the ICC to “exercise its function and powers, as provided in this Statute, on the territory of </w:t>
      </w:r>
      <w:r w:rsidRPr="00F37018">
        <w:rPr>
          <w:rFonts w:ascii="Times New Roman" w:hAnsi="Times New Roman"/>
          <w:i/>
          <w:iCs/>
        </w:rPr>
        <w:t>any State Party</w:t>
      </w:r>
      <w:r w:rsidRPr="00F37018">
        <w:rPr>
          <w:rFonts w:ascii="Times New Roman" w:hAnsi="Times New Roman"/>
        </w:rPr>
        <w:t xml:space="preserve"> and, </w:t>
      </w:r>
      <w:r w:rsidRPr="00F37018">
        <w:rPr>
          <w:rFonts w:ascii="Times New Roman" w:hAnsi="Times New Roman"/>
          <w:i/>
          <w:iCs/>
        </w:rPr>
        <w:t>by special agreement</w:t>
      </w:r>
      <w:r w:rsidRPr="00F37018">
        <w:rPr>
          <w:rFonts w:ascii="Times New Roman" w:hAnsi="Times New Roman"/>
        </w:rPr>
        <w:t>, on the territory of any other State.”</w:t>
      </w:r>
      <w:r w:rsidRPr="00F37018">
        <w:rPr>
          <w:rStyle w:val="NoteRefInText"/>
          <w:rFonts w:eastAsiaTheme="majorEastAsia"/>
        </w:rPr>
        <w:footnoteReference w:id="146"/>
      </w:r>
      <w:r w:rsidRPr="00F37018">
        <w:rPr>
          <w:rFonts w:ascii="Times New Roman" w:hAnsi="Times New Roman"/>
        </w:rPr>
        <w:t xml:space="preserve"> The ICC is unlikely to reach a special agreement with an Israeli government headed by a Prime Minister subject to ICC-ordered arrest. Thus, Netanyahu would need to travel to a State Party’s jurisdiction. This is highly unlikely because of the public nature of these countries’ declared intent.</w:t>
      </w:r>
    </w:p>
    <w:p w14:paraId="53253073" w14:textId="1AE7EF39" w:rsidR="00511561" w:rsidRPr="00F37018" w:rsidRDefault="00511561" w:rsidP="00B2682D">
      <w:pPr>
        <w:pStyle w:val="Document"/>
        <w:rPr>
          <w:rFonts w:ascii="Times New Roman" w:hAnsi="Times New Roman"/>
        </w:rPr>
      </w:pPr>
      <w:r w:rsidRPr="00F37018">
        <w:rPr>
          <w:rFonts w:ascii="Times New Roman" w:hAnsi="Times New Roman"/>
        </w:rPr>
        <w:t>All told, the ICC’s lack of an enforcement mechanism puts both the Court and the States Parties in a difficult position. The ICC must rely on States Parties that may not fulfill their obligations or would not have the opportunity to fulfill their obligations. The States Parties must determine how to navigate their obligations to the ICC and the incentives of non-compliance. Without the ability to enforce, the ICC creates a grey area in situations like the present case. The ICC’s inability to enforce thus takes partial blame, though it was created with this defect.</w:t>
      </w:r>
      <w:r w:rsidRPr="00F37018">
        <w:rPr>
          <w:rStyle w:val="NoteRefInText"/>
          <w:rFonts w:eastAsiaTheme="majorEastAsia"/>
        </w:rPr>
        <w:footnoteReference w:id="147"/>
      </w:r>
      <w:r w:rsidRPr="00F37018">
        <w:rPr>
          <w:rFonts w:ascii="Times New Roman" w:hAnsi="Times New Roman"/>
        </w:rPr>
        <w:t xml:space="preserve"> So, in determining whether compliance is ideal or not, countries are unlikely to solely rely on the Statute. This is apparent from the group of non-committal </w:t>
      </w:r>
      <w:r w:rsidRPr="00F37018">
        <w:rPr>
          <w:rFonts w:ascii="Times New Roman" w:hAnsi="Times New Roman"/>
        </w:rPr>
        <w:lastRenderedPageBreak/>
        <w:t>countries, whose decision-making process likely reflects that of game theory, not strict compliance with the Statute.</w:t>
      </w:r>
    </w:p>
    <w:p w14:paraId="54C095BA" w14:textId="1FE80314" w:rsidR="00511561" w:rsidRPr="00F37018" w:rsidRDefault="009A7D11" w:rsidP="00B2682D">
      <w:pPr>
        <w:pStyle w:val="Head2"/>
        <w:rPr>
          <w:rFonts w:ascii="Times New Roman" w:hAnsi="Times New Roman"/>
        </w:rPr>
      </w:pPr>
      <w:bookmarkStart w:id="13" w:name="_Toc226031989"/>
      <w:r>
        <w:rPr>
          <w:rFonts w:ascii="Times New Roman" w:hAnsi="Times New Roman"/>
        </w:rPr>
        <w:t>B</w:t>
      </w:r>
      <w:r w:rsidR="00511561" w:rsidRPr="00F37018">
        <w:rPr>
          <w:rFonts w:ascii="Times New Roman" w:hAnsi="Times New Roman"/>
        </w:rPr>
        <w:t>.</w:t>
      </w:r>
      <w:r w:rsidR="00511561" w:rsidRPr="00F37018">
        <w:rPr>
          <w:rFonts w:ascii="Times New Roman" w:hAnsi="Times New Roman"/>
        </w:rPr>
        <w:tab/>
        <w:t>The Self-Interest View of Game Theory is More Applicable Here than the Normative View</w:t>
      </w:r>
      <w:bookmarkEnd w:id="13"/>
    </w:p>
    <w:p w14:paraId="7B3CD443" w14:textId="50A2A1D7" w:rsidR="00511561" w:rsidRPr="00F37018" w:rsidRDefault="00511561" w:rsidP="00B2682D">
      <w:pPr>
        <w:pStyle w:val="Document"/>
        <w:rPr>
          <w:rFonts w:ascii="Times New Roman" w:hAnsi="Times New Roman"/>
        </w:rPr>
      </w:pPr>
      <w:r w:rsidRPr="00F37018">
        <w:rPr>
          <w:rFonts w:ascii="Times New Roman" w:hAnsi="Times New Roman"/>
        </w:rPr>
        <w:t>In the instant case, States Parties are trying to balance their interests in supporting Israel against compliance with the Statute. The way States Parties interact with the ICC and one another in this balance also affects the collective decision-making process. As different states try to strike a balance here, their actions coalesce and “jointly determine the outcome by the totality” of the separate actions.</w:t>
      </w:r>
      <w:r w:rsidRPr="00F37018">
        <w:rPr>
          <w:rStyle w:val="NoteRefInText"/>
          <w:rFonts w:eastAsiaTheme="majorEastAsia"/>
        </w:rPr>
        <w:footnoteReference w:id="148"/>
      </w:r>
      <w:r w:rsidRPr="00F37018">
        <w:rPr>
          <w:rFonts w:ascii="Times New Roman" w:hAnsi="Times New Roman"/>
        </w:rPr>
        <w:t xml:space="preserve"> This creates a game. The rule set, or “prescriptive . . . legal norms,”</w:t>
      </w:r>
      <w:r w:rsidRPr="00F37018">
        <w:rPr>
          <w:rStyle w:val="NoteRefInText"/>
          <w:rFonts w:eastAsiaTheme="majorEastAsia"/>
        </w:rPr>
        <w:footnoteReference w:id="149"/>
      </w:r>
      <w:r w:rsidRPr="00F37018">
        <w:rPr>
          <w:rFonts w:ascii="Times New Roman" w:hAnsi="Times New Roman"/>
        </w:rPr>
        <w:t xml:space="preserve"> here is the Statute, imposing obligations on the States Parties and influencing their decisions. But these norms may be subverted when they are sufficiently inconvenient, as seen in Germany’s non-compliance decision.</w:t>
      </w:r>
    </w:p>
    <w:p w14:paraId="528A33AA" w14:textId="6C89EB65" w:rsidR="00511561" w:rsidRPr="00F37018" w:rsidRDefault="00511561" w:rsidP="00B2682D">
      <w:pPr>
        <w:pStyle w:val="Document"/>
        <w:rPr>
          <w:rFonts w:ascii="Times New Roman" w:hAnsi="Times New Roman"/>
          <w:iCs/>
        </w:rPr>
      </w:pPr>
      <w:r w:rsidRPr="00F37018">
        <w:rPr>
          <w:rFonts w:ascii="Times New Roman" w:hAnsi="Times New Roman"/>
        </w:rPr>
        <w:t>Analysis under the self-interest-driven school of thought is likely to show that if States Parties find the Statute’s imposed obligations inconvenient, then non-compliance is preferable. The determination of compliance here “could be explained by future costs associated with noncompliance . . . collapsing international law compliance into low-discount rate, self-interested behavior.”</w:t>
      </w:r>
      <w:r w:rsidRPr="00F37018">
        <w:rPr>
          <w:rStyle w:val="NoteRefInText"/>
          <w:rFonts w:eastAsiaTheme="majorEastAsia"/>
        </w:rPr>
        <w:footnoteReference w:id="150"/>
      </w:r>
      <w:r w:rsidRPr="00F37018">
        <w:rPr>
          <w:rFonts w:ascii="Times New Roman" w:hAnsi="Times New Roman"/>
        </w:rPr>
        <w:t xml:space="preserve"> But in making this self-interested conclusion, this school rejects, outright, the notion “that states comply with international law simply because it is </w:t>
      </w:r>
      <w:r w:rsidRPr="00F37018">
        <w:rPr>
          <w:rFonts w:ascii="Times New Roman" w:hAnsi="Times New Roman"/>
          <w:i/>
          <w:iCs/>
        </w:rPr>
        <w:t>law</w:t>
      </w:r>
      <w:r w:rsidRPr="00F37018">
        <w:rPr>
          <w:rFonts w:ascii="Times New Roman" w:hAnsi="Times New Roman"/>
        </w:rPr>
        <w:t>.”</w:t>
      </w:r>
      <w:r w:rsidRPr="00F37018">
        <w:rPr>
          <w:rStyle w:val="NoteRefInText"/>
          <w:rFonts w:eastAsiaTheme="majorEastAsia"/>
        </w:rPr>
        <w:footnoteReference w:id="151"/>
      </w:r>
      <w:r w:rsidRPr="00F37018">
        <w:rPr>
          <w:rFonts w:ascii="Times New Roman" w:hAnsi="Times New Roman"/>
        </w:rPr>
        <w:t xml:space="preserve"> In practice this follows from the concern about the “indeterminateness of international criminal law” that could lead to principled disagreements between the ICC and States Parties.</w:t>
      </w:r>
      <w:r w:rsidRPr="00F37018">
        <w:rPr>
          <w:rStyle w:val="NoteRefInText"/>
          <w:rFonts w:eastAsiaTheme="majorEastAsia"/>
        </w:rPr>
        <w:footnoteReference w:id="152"/>
      </w:r>
      <w:r w:rsidRPr="00F37018">
        <w:rPr>
          <w:rFonts w:ascii="Times New Roman" w:hAnsi="Times New Roman"/>
        </w:rPr>
        <w:t xml:space="preserve"> Also, as discussed previously, the absence of an enforcement mechanism in international law assures that compliance across the States Parties through coercion is “rare and difficult to achieve.”</w:t>
      </w:r>
      <w:r w:rsidRPr="00F37018">
        <w:rPr>
          <w:rStyle w:val="NoteRefInText"/>
          <w:rFonts w:eastAsiaTheme="majorEastAsia"/>
        </w:rPr>
        <w:footnoteReference w:id="153"/>
      </w:r>
      <w:r w:rsidRPr="00F37018">
        <w:rPr>
          <w:rFonts w:ascii="Times New Roman" w:hAnsi="Times New Roman"/>
        </w:rPr>
        <w:t xml:space="preserve"> International law is, therefore, “a matter of self-interest behavior on the part of states, not a robust system of law that </w:t>
      </w:r>
      <w:r w:rsidRPr="00F37018">
        <w:rPr>
          <w:rFonts w:ascii="Times New Roman" w:hAnsi="Times New Roman"/>
          <w:i/>
        </w:rPr>
        <w:t xml:space="preserve">demands </w:t>
      </w:r>
      <w:r w:rsidRPr="00F37018">
        <w:rPr>
          <w:rFonts w:ascii="Times New Roman" w:hAnsi="Times New Roman"/>
          <w:iCs/>
        </w:rPr>
        <w:t xml:space="preserve">compliance even when it conflicts with a </w:t>
      </w:r>
      <w:r w:rsidRPr="00F37018">
        <w:rPr>
          <w:rFonts w:ascii="Times New Roman" w:hAnsi="Times New Roman"/>
          <w:iCs/>
        </w:rPr>
        <w:lastRenderedPageBreak/>
        <w:t>participant’s self-interest.”</w:t>
      </w:r>
      <w:r w:rsidRPr="00F37018">
        <w:rPr>
          <w:rStyle w:val="NoteRefInText"/>
          <w:rFonts w:eastAsiaTheme="majorEastAsia"/>
        </w:rPr>
        <w:footnoteReference w:id="154"/>
      </w:r>
    </w:p>
    <w:p w14:paraId="34A4A348" w14:textId="49B79C57" w:rsidR="00511561" w:rsidRPr="00F37018" w:rsidRDefault="00511561" w:rsidP="00B2682D">
      <w:pPr>
        <w:pStyle w:val="Document"/>
        <w:rPr>
          <w:rFonts w:ascii="Times New Roman" w:hAnsi="Times New Roman"/>
        </w:rPr>
      </w:pPr>
      <w:r w:rsidRPr="00F37018">
        <w:rPr>
          <w:rFonts w:ascii="Times New Roman" w:hAnsi="Times New Roman"/>
        </w:rPr>
        <w:t xml:space="preserve">Because this view outright rejects the notion that states “comply with international law simply because it is </w:t>
      </w:r>
      <w:r w:rsidRPr="00F37018">
        <w:rPr>
          <w:rFonts w:ascii="Times New Roman" w:hAnsi="Times New Roman"/>
          <w:i/>
        </w:rPr>
        <w:t>law</w:t>
      </w:r>
      <w:r w:rsidRPr="00F37018">
        <w:rPr>
          <w:rFonts w:ascii="Times New Roman" w:hAnsi="Times New Roman"/>
        </w:rPr>
        <w:t>,”</w:t>
      </w:r>
      <w:r w:rsidRPr="00F37018">
        <w:rPr>
          <w:rStyle w:val="NoteRefInText"/>
          <w:rFonts w:eastAsiaTheme="majorEastAsia"/>
        </w:rPr>
        <w:footnoteReference w:id="155"/>
      </w:r>
      <w:r w:rsidRPr="00F37018">
        <w:rPr>
          <w:rFonts w:ascii="Times New Roman" w:hAnsi="Times New Roman"/>
        </w:rPr>
        <w:t xml:space="preserve"> it is prudent to outline some considerations that these states would make outside of the purely academic reasoning inherent to the above analysis. As much as scholars postulate about the moralistic determinations made by states in their decision-making processes, concrete obstacles have arisen on the international stage in adhering to the Statute. In February of 2025, United States President Donald Trump took executive action by imposing sanctions on the International Criminal Court.</w:t>
      </w:r>
      <w:r w:rsidRPr="00F37018">
        <w:rPr>
          <w:rStyle w:val="NoteRefInText"/>
          <w:rFonts w:eastAsiaTheme="majorEastAsia"/>
        </w:rPr>
        <w:footnoteReference w:id="156"/>
      </w:r>
      <w:r w:rsidRPr="00F37018">
        <w:rPr>
          <w:rFonts w:ascii="Times New Roman" w:hAnsi="Times New Roman"/>
        </w:rPr>
        <w:t xml:space="preserve"> By issuing this executive order, the United States committed to imposing “tangible and significant consequences on those responsible for the ICC’s transgressions.”</w:t>
      </w:r>
      <w:r w:rsidRPr="00F37018">
        <w:rPr>
          <w:rStyle w:val="NoteRefInText"/>
          <w:rFonts w:eastAsiaTheme="majorEastAsia"/>
        </w:rPr>
        <w:footnoteReference w:id="157"/>
      </w:r>
      <w:r w:rsidRPr="00F37018">
        <w:rPr>
          <w:rFonts w:ascii="Times New Roman" w:hAnsi="Times New Roman"/>
        </w:rPr>
        <w:t xml:space="preserve"> By itself, this order may not implicate all States Parties, as the executive order names the ICC Prosecutor, Karim Khan, and “any foreign person” to have directly engaged in ICC investigation, arrest, or prosecution efforts.</w:t>
      </w:r>
      <w:r w:rsidRPr="00F37018">
        <w:rPr>
          <w:rStyle w:val="NoteRefInText"/>
          <w:rFonts w:eastAsiaTheme="majorEastAsia"/>
        </w:rPr>
        <w:footnoteReference w:id="158"/>
      </w:r>
      <w:r w:rsidRPr="00F37018">
        <w:rPr>
          <w:rFonts w:ascii="Times New Roman" w:hAnsi="Times New Roman"/>
        </w:rPr>
        <w:t xml:space="preserve"> But the order also imposes sanctions on those who materially assist or sponsor a person sanctioned and any entity owned, controlled, or acting or purporting to act on behalf of a sanctioned person.</w:t>
      </w:r>
      <w:r w:rsidRPr="00F37018">
        <w:rPr>
          <w:rStyle w:val="NoteRefInText"/>
          <w:rFonts w:eastAsiaTheme="majorEastAsia"/>
        </w:rPr>
        <w:footnoteReference w:id="159"/>
      </w:r>
      <w:r w:rsidRPr="00F37018">
        <w:rPr>
          <w:rFonts w:ascii="Times New Roman" w:hAnsi="Times New Roman"/>
        </w:rPr>
        <w:t xml:space="preserve"> These sanctions may prove determinative for States Parties’ actions. This is especially so considering United States Senator Lindsey Graham’s comments on the ICC’s investigation. A key organizer between the ICC and United States lawmakers, Senator Graham has vowed “to crush the court as well as the economy of any country that tries to enforce the arrest warrant against Netanyahu,”</w:t>
      </w:r>
      <w:r w:rsidRPr="00F37018">
        <w:rPr>
          <w:rStyle w:val="NoteRefInText"/>
          <w:rFonts w:eastAsiaTheme="majorEastAsia"/>
        </w:rPr>
        <w:footnoteReference w:id="160"/>
      </w:r>
      <w:r w:rsidRPr="00F37018">
        <w:rPr>
          <w:rFonts w:ascii="Times New Roman" w:hAnsi="Times New Roman"/>
        </w:rPr>
        <w:t xml:space="preserve"> stating that the ICC’s legal theory, on which Netanyahu’s arrest warrant is premised, “has no limits.”</w:t>
      </w:r>
      <w:r w:rsidRPr="00F37018">
        <w:rPr>
          <w:rStyle w:val="NoteRefInText"/>
          <w:rFonts w:eastAsiaTheme="majorEastAsia"/>
        </w:rPr>
        <w:footnoteReference w:id="161"/>
      </w:r>
      <w:r w:rsidRPr="00F37018">
        <w:rPr>
          <w:rFonts w:ascii="Times New Roman" w:hAnsi="Times New Roman"/>
        </w:rPr>
        <w:t xml:space="preserve"> States Parties are between a rock and a hard place here because of the United States’ power on the international stage.</w:t>
      </w:r>
    </w:p>
    <w:p w14:paraId="5471D60F" w14:textId="6496602C" w:rsidR="00511561" w:rsidRPr="00F37018" w:rsidRDefault="00511561" w:rsidP="00B2682D">
      <w:pPr>
        <w:pStyle w:val="Document"/>
        <w:rPr>
          <w:rFonts w:ascii="Times New Roman" w:hAnsi="Times New Roman"/>
        </w:rPr>
      </w:pPr>
      <w:r w:rsidRPr="00F37018">
        <w:rPr>
          <w:rFonts w:ascii="Times New Roman" w:hAnsi="Times New Roman"/>
        </w:rPr>
        <w:t xml:space="preserve">Under the self-interest school of thought, the best outcome for States Parties, based on the United States’ recent actions and possible future actions, could be non-compliance with the ICC’s arrest warrants. After all, when the International Criminal Tribunal for the former Yugoslavia was underway, “it was U.S. military, diplomatic, and financial might” that made “a trial of Balkan leaders </w:t>
      </w:r>
      <w:r w:rsidRPr="00F37018">
        <w:rPr>
          <w:rFonts w:ascii="Times New Roman" w:hAnsi="Times New Roman"/>
        </w:rPr>
        <w:lastRenderedPageBreak/>
        <w:t>a possibility.”</w:t>
      </w:r>
      <w:r w:rsidRPr="00F37018">
        <w:rPr>
          <w:rStyle w:val="NoteRefInText"/>
          <w:rFonts w:eastAsiaTheme="majorEastAsia"/>
        </w:rPr>
        <w:footnoteReference w:id="162"/>
      </w:r>
      <w:r w:rsidRPr="00F37018">
        <w:rPr>
          <w:rFonts w:ascii="Times New Roman" w:hAnsi="Times New Roman"/>
        </w:rPr>
        <w:t xml:space="preserve"> So, a powerful player like the United States could, through its actions against the ICC alone, provoke States Parties to violate the Statute rather than face consequential United States sanctions. If a smaller or middling-powered State Party could execute the ICC’s arrest warrant, then it will likely account for the United States’ response to its actions. The sanction regime suggested by Senator Graham could devastate the economies of smaller nations, crippling them in exchange for compliance. This is unlikely to be the best outcome for these smaller States Parties.</w:t>
      </w:r>
    </w:p>
    <w:p w14:paraId="56CC5E65" w14:textId="1D7F7300" w:rsidR="00511561" w:rsidRPr="00F37018" w:rsidRDefault="00511561" w:rsidP="00B2682D">
      <w:pPr>
        <w:pStyle w:val="Document"/>
        <w:rPr>
          <w:rFonts w:ascii="Times New Roman" w:hAnsi="Times New Roman"/>
        </w:rPr>
      </w:pPr>
      <w:r w:rsidRPr="00F37018">
        <w:rPr>
          <w:rFonts w:ascii="Times New Roman" w:hAnsi="Times New Roman"/>
        </w:rPr>
        <w:t>Sanctions are not, however, the only consideration that a State Party faces in determining its course of action pursuant to the ICC’s arrest warrants, as evidenced by Germany’s recent decision-making. Following the recent federal election in Germany, Friedrich Merz, likely to be the next chancellor of Germany, invited Netanyahu to Germany.</w:t>
      </w:r>
      <w:r w:rsidRPr="00F37018">
        <w:rPr>
          <w:rStyle w:val="NoteRefInText"/>
          <w:rFonts w:eastAsiaTheme="majorEastAsia"/>
        </w:rPr>
        <w:footnoteReference w:id="163"/>
      </w:r>
      <w:r w:rsidRPr="00F37018">
        <w:rPr>
          <w:rFonts w:ascii="Times New Roman" w:hAnsi="Times New Roman"/>
        </w:rPr>
        <w:t xml:space="preserve"> Stating that he finds it “a complete absurd idea that an Israeli prime minister cannot visit . . . Germany,”</w:t>
      </w:r>
      <w:r w:rsidRPr="00F37018">
        <w:rPr>
          <w:rStyle w:val="NoteRefInText"/>
          <w:rFonts w:eastAsiaTheme="majorEastAsia"/>
        </w:rPr>
        <w:footnoteReference w:id="164"/>
      </w:r>
      <w:r w:rsidRPr="00F37018">
        <w:rPr>
          <w:rFonts w:ascii="Times New Roman" w:hAnsi="Times New Roman"/>
        </w:rPr>
        <w:t xml:space="preserve"> Merz has vowed to find a way to allow Netanyahu to visit the country, despite Germany’s obligation to the ICC. Herein lies another important interest for States Parties: historical connection. While not explicitly stated, it can be assumed, with some level of certainty, that the relationship between Germany and Israel is at the forefront of Merz’s mind.</w:t>
      </w:r>
    </w:p>
    <w:p w14:paraId="10B3D5E3" w14:textId="5865759C" w:rsidR="00511561" w:rsidRPr="00F37018" w:rsidRDefault="00511561" w:rsidP="00B2682D">
      <w:pPr>
        <w:pStyle w:val="Document"/>
        <w:rPr>
          <w:rFonts w:ascii="Times New Roman" w:hAnsi="Times New Roman"/>
        </w:rPr>
      </w:pPr>
      <w:r w:rsidRPr="00F37018">
        <w:rPr>
          <w:rFonts w:ascii="Times New Roman" w:hAnsi="Times New Roman"/>
        </w:rPr>
        <w:t>The same historical interest is also displayed in Mongolia’s situation with Putin; Mongolia was not willing to turn a blind eye to its history of neutrality to enforce a supranational organization’s determination, which may not be in Mongolia’s best interest.</w:t>
      </w:r>
      <w:r w:rsidRPr="00F37018">
        <w:rPr>
          <w:rStyle w:val="NoteRefInText"/>
          <w:rFonts w:eastAsiaTheme="majorEastAsia"/>
        </w:rPr>
        <w:footnoteReference w:id="165"/>
      </w:r>
      <w:r w:rsidRPr="00F37018">
        <w:rPr>
          <w:rFonts w:ascii="Times New Roman" w:hAnsi="Times New Roman"/>
        </w:rPr>
        <w:t xml:space="preserve"> Whether this is the actual reason for Mongolia’s non-compliance, or if 95% of Mongolian petroleum imports and 20% of electricity imports coming from Russia are to blame, the point remains that States Parties are self-interested in their decision-making.</w:t>
      </w:r>
    </w:p>
    <w:p w14:paraId="3FBBE2A0" w14:textId="467B12CE" w:rsidR="00511561" w:rsidRPr="00F37018" w:rsidRDefault="00511561" w:rsidP="00B2682D">
      <w:pPr>
        <w:pStyle w:val="Document"/>
        <w:rPr>
          <w:rFonts w:ascii="Times New Roman" w:hAnsi="Times New Roman"/>
        </w:rPr>
      </w:pPr>
      <w:r w:rsidRPr="00F37018">
        <w:rPr>
          <w:rFonts w:ascii="Times New Roman" w:hAnsi="Times New Roman"/>
        </w:rPr>
        <w:t xml:space="preserve">Another school of thought in self-interested decision-making </w:t>
      </w:r>
      <w:r w:rsidRPr="00F37018">
        <w:rPr>
          <w:rFonts w:ascii="Times New Roman" w:hAnsi="Times New Roman"/>
        </w:rPr>
        <w:lastRenderedPageBreak/>
        <w:t>would view the determinations discussed above as requiring a normative lens, for without understanding what the full group of States Parties determines to be normatively correct, how could one truly understand any of the decisions made here? Within its analysis, the normative school of thought argues that a variety of reasons for receptivity may explain why countries have not fully endorsed ICC cooperation, while other countries have. It follows that the interests of the countries in the international community are not always aligned, but the countries holding out could be incentivized to act. This incentivization then lends the argument to a necessary conclusion that self-interested behavior and normativity, in finding the “best” rule set, are not mutually exclusive.</w:t>
      </w:r>
      <w:r w:rsidRPr="00F37018">
        <w:rPr>
          <w:rStyle w:val="NoteRefInText"/>
          <w:rFonts w:eastAsiaTheme="majorEastAsia"/>
        </w:rPr>
        <w:footnoteReference w:id="166"/>
      </w:r>
      <w:r w:rsidRPr="00F37018">
        <w:rPr>
          <w:rFonts w:ascii="Times New Roman" w:hAnsi="Times New Roman"/>
        </w:rPr>
        <w:t xml:space="preserve"> Finding this “best” rule set, however, requires a balancing of self-interested behavior and normative conclusions on what States Parties ought to do.</w:t>
      </w:r>
      <w:r w:rsidRPr="00F37018">
        <w:rPr>
          <w:rStyle w:val="NoteRefInText"/>
          <w:rFonts w:eastAsiaTheme="majorEastAsia"/>
        </w:rPr>
        <w:footnoteReference w:id="167"/>
      </w:r>
      <w:r w:rsidRPr="00F37018">
        <w:rPr>
          <w:rFonts w:ascii="Times New Roman" w:hAnsi="Times New Roman"/>
        </w:rPr>
        <w:t xml:space="preserve"> It stands to reason, then, that the normative school is little more than the self-interest school with an added factor of determination.</w:t>
      </w:r>
    </w:p>
    <w:p w14:paraId="37CF1B53" w14:textId="7BAC5D4A" w:rsidR="00511561" w:rsidRPr="00F37018" w:rsidRDefault="00511561" w:rsidP="00B2682D">
      <w:pPr>
        <w:pStyle w:val="Document"/>
        <w:rPr>
          <w:rFonts w:ascii="Times New Roman" w:hAnsi="Times New Roman"/>
        </w:rPr>
      </w:pPr>
      <w:r w:rsidRPr="00F37018">
        <w:rPr>
          <w:rFonts w:ascii="Times New Roman" w:hAnsi="Times New Roman"/>
        </w:rPr>
        <w:t>Striking the balance between self-interested behavior and normativity requires States Parties to “make decisions based on the expected moves of their competitors.”</w:t>
      </w:r>
      <w:r w:rsidRPr="00F37018">
        <w:rPr>
          <w:rStyle w:val="NoteRefInText"/>
          <w:rFonts w:eastAsiaTheme="majorEastAsia"/>
        </w:rPr>
        <w:footnoteReference w:id="168"/>
      </w:r>
      <w:r w:rsidRPr="00F37018">
        <w:rPr>
          <w:rFonts w:ascii="Times New Roman" w:hAnsi="Times New Roman"/>
        </w:rPr>
        <w:t xml:space="preserve"> The circumstance of a State Party in finding this balance is clear: in the face of inconvenience, “the resulting payoff is extremely low . . . producing the worst possible outcome,” where States Parties all opt for non-compliance with the Statute.</w:t>
      </w:r>
      <w:r w:rsidRPr="00F37018">
        <w:rPr>
          <w:rStyle w:val="NoteRefInText"/>
          <w:rFonts w:eastAsiaTheme="majorEastAsia"/>
        </w:rPr>
        <w:footnoteReference w:id="169"/>
      </w:r>
      <w:r w:rsidRPr="00F37018">
        <w:rPr>
          <w:rFonts w:ascii="Times New Roman" w:hAnsi="Times New Roman"/>
        </w:rPr>
        <w:t xml:space="preserve"> So, the best outcome in the game of international law is the “objectively second-best . . . outcome: acceptance of reciprocal moral constraints on behavior.”</w:t>
      </w:r>
      <w:r w:rsidRPr="00F37018">
        <w:rPr>
          <w:rStyle w:val="NoteRefInText"/>
          <w:rFonts w:eastAsiaTheme="majorEastAsia"/>
        </w:rPr>
        <w:footnoteReference w:id="170"/>
      </w:r>
      <w:r w:rsidRPr="00F37018">
        <w:rPr>
          <w:rFonts w:ascii="Times New Roman" w:hAnsi="Times New Roman"/>
        </w:rPr>
        <w:t xml:space="preserve"> In other words, compliance with the Statute. Thus, this school of thought would conclude, States Parties “seeking to maximize their own outcomes will choose moral outcomes as long as morality is a group endeavor” in complying with and upholding the Statute.</w:t>
      </w:r>
      <w:r w:rsidRPr="00F37018">
        <w:rPr>
          <w:rStyle w:val="NoteRefInText"/>
          <w:rFonts w:eastAsiaTheme="majorEastAsia"/>
        </w:rPr>
        <w:footnoteReference w:id="171"/>
      </w:r>
      <w:r w:rsidRPr="00F37018">
        <w:rPr>
          <w:rFonts w:ascii="Times New Roman" w:hAnsi="Times New Roman"/>
        </w:rPr>
        <w:t xml:space="preserve"> The normative school, therefore, reflects complementarity, the basis of the ICC.</w:t>
      </w:r>
    </w:p>
    <w:p w14:paraId="1F581D0A" w14:textId="39981002" w:rsidR="00511561" w:rsidRPr="00F37018" w:rsidRDefault="00511561" w:rsidP="00B2682D">
      <w:pPr>
        <w:pStyle w:val="Document"/>
        <w:rPr>
          <w:rFonts w:ascii="Times New Roman" w:hAnsi="Times New Roman"/>
        </w:rPr>
      </w:pPr>
      <w:r w:rsidRPr="00F37018">
        <w:rPr>
          <w:rFonts w:ascii="Times New Roman" w:hAnsi="Times New Roman"/>
        </w:rPr>
        <w:t>Proponents of this school of thought and of the broader concept of complementarity may posit that “as a general rule, states acknowledge an obligation to comply with the agreements they have signed.”</w:t>
      </w:r>
      <w:r w:rsidRPr="00F37018">
        <w:rPr>
          <w:rStyle w:val="NoteRefInText"/>
          <w:rFonts w:eastAsiaTheme="majorEastAsia"/>
        </w:rPr>
        <w:footnoteReference w:id="172"/>
      </w:r>
      <w:r w:rsidRPr="00F37018">
        <w:rPr>
          <w:rFonts w:ascii="Times New Roman" w:hAnsi="Times New Roman"/>
        </w:rPr>
        <w:t xml:space="preserve"> The considerations underlying this “propensity to </w:t>
      </w:r>
      <w:r w:rsidRPr="00F37018">
        <w:rPr>
          <w:rFonts w:ascii="Times New Roman" w:hAnsi="Times New Roman"/>
        </w:rPr>
        <w:lastRenderedPageBreak/>
        <w:t>comply” include efficiency, countries’ interests, and international norms.</w:t>
      </w:r>
      <w:r w:rsidRPr="00F37018">
        <w:rPr>
          <w:rStyle w:val="NoteRefInText"/>
          <w:rFonts w:eastAsiaTheme="majorEastAsia"/>
        </w:rPr>
        <w:footnoteReference w:id="173"/>
      </w:r>
      <w:r w:rsidRPr="00F37018">
        <w:rPr>
          <w:rFonts w:ascii="Times New Roman" w:hAnsi="Times New Roman"/>
        </w:rPr>
        <w:t xml:space="preserve"> The efficiency consideration serves as an economic calculation, more so than a normative determination, of keeping the status quo.</w:t>
      </w:r>
      <w:r w:rsidRPr="00F37018">
        <w:rPr>
          <w:rStyle w:val="NoteRefInText"/>
          <w:rFonts w:eastAsiaTheme="majorEastAsia"/>
        </w:rPr>
        <w:footnoteReference w:id="174"/>
      </w:r>
      <w:r w:rsidRPr="00F37018">
        <w:rPr>
          <w:rFonts w:ascii="Times New Roman" w:hAnsi="Times New Roman"/>
        </w:rPr>
        <w:t xml:space="preserve"> If a treaty “establishes an authoritative rule system,”</w:t>
      </w:r>
      <w:r w:rsidRPr="00F37018">
        <w:rPr>
          <w:rStyle w:val="NoteRefInText"/>
          <w:rFonts w:eastAsiaTheme="majorEastAsia"/>
        </w:rPr>
        <w:footnoteReference w:id="175"/>
      </w:r>
      <w:r w:rsidRPr="00F37018">
        <w:rPr>
          <w:rFonts w:ascii="Times New Roman" w:hAnsi="Times New Roman"/>
        </w:rPr>
        <w:t xml:space="preserve"> continuing the status quo through compliance “saves transaction costs” borne from calculations of breaking the status quo,</w:t>
      </w:r>
      <w:r w:rsidRPr="00F37018">
        <w:rPr>
          <w:rStyle w:val="NoteRefInText"/>
          <w:rFonts w:eastAsiaTheme="majorEastAsia"/>
        </w:rPr>
        <w:footnoteReference w:id="176"/>
      </w:r>
      <w:r w:rsidRPr="00F37018">
        <w:rPr>
          <w:rFonts w:ascii="Times New Roman" w:hAnsi="Times New Roman"/>
        </w:rPr>
        <w:t xml:space="preserve"> and creates an “organizational presumption” with “a heavy burden of persuasion” against deviation.</w:t>
      </w:r>
      <w:r w:rsidRPr="00F37018">
        <w:rPr>
          <w:rStyle w:val="NoteRefInText"/>
          <w:rFonts w:eastAsiaTheme="majorEastAsia"/>
        </w:rPr>
        <w:footnoteReference w:id="177"/>
      </w:r>
      <w:r w:rsidRPr="00F37018">
        <w:rPr>
          <w:rFonts w:ascii="Times New Roman" w:hAnsi="Times New Roman"/>
        </w:rPr>
        <w:t xml:space="preserve"> The consideration of interests that may lead countries to comply requires a treaty that “is designed to ensure . . . an accommodation of the interest of the negotiating states.”</w:t>
      </w:r>
      <w:r w:rsidRPr="00F37018">
        <w:rPr>
          <w:rStyle w:val="NoteRefInText"/>
          <w:rFonts w:eastAsiaTheme="majorEastAsia"/>
        </w:rPr>
        <w:footnoteReference w:id="178"/>
      </w:r>
      <w:r w:rsidRPr="00F37018">
        <w:rPr>
          <w:rFonts w:ascii="Times New Roman" w:hAnsi="Times New Roman"/>
        </w:rPr>
        <w:t xml:space="preserve"> In this negotiating stage, countries are not likely to negotiate with an expectation of violation.</w:t>
      </w:r>
      <w:r w:rsidRPr="00F37018">
        <w:rPr>
          <w:rStyle w:val="NoteRefInText"/>
          <w:rFonts w:eastAsiaTheme="majorEastAsia"/>
        </w:rPr>
        <w:footnoteReference w:id="179"/>
      </w:r>
      <w:r w:rsidRPr="00F37018">
        <w:rPr>
          <w:rFonts w:ascii="Times New Roman" w:hAnsi="Times New Roman"/>
        </w:rPr>
        <w:t xml:space="preserve"> The commitments then made by countries during negotiations create an expectation of compliance because violation was not in mind during negotiations.</w:t>
      </w:r>
      <w:r w:rsidRPr="00F37018">
        <w:rPr>
          <w:rStyle w:val="NoteRefInText"/>
          <w:rFonts w:eastAsiaTheme="majorEastAsia"/>
        </w:rPr>
        <w:footnoteReference w:id="180"/>
      </w:r>
      <w:r w:rsidRPr="00F37018">
        <w:rPr>
          <w:rFonts w:ascii="Times New Roman" w:hAnsi="Times New Roman"/>
        </w:rPr>
        <w:t xml:space="preserve"> Finally, the consideration of international norms sets the stage for compliance, in this view, based on collective adherence to “legal obligation[s which], for most actors in most situations, translates into a presumption of compliance, in the absence of strong countervailing circumstances.”</w:t>
      </w:r>
      <w:r w:rsidRPr="00F37018">
        <w:rPr>
          <w:rStyle w:val="NoteRefInText"/>
          <w:rFonts w:eastAsiaTheme="majorEastAsia"/>
        </w:rPr>
        <w:footnoteReference w:id="181"/>
      </w:r>
      <w:r w:rsidRPr="00F37018">
        <w:rPr>
          <w:rFonts w:ascii="Times New Roman" w:hAnsi="Times New Roman"/>
        </w:rPr>
        <w:t xml:space="preserve"> Thus, the complementarian might argue, a strong presumption of compliance borne from the general rule motivates States Parties to comply, absent consequences for violation.</w:t>
      </w:r>
      <w:r w:rsidRPr="00F37018">
        <w:rPr>
          <w:rFonts w:ascii="Times New Roman" w:hAnsi="Times New Roman"/>
        </w:rPr>
        <w:br/>
      </w:r>
      <w:r w:rsidRPr="00F37018">
        <w:rPr>
          <w:rFonts w:ascii="Times New Roman" w:hAnsi="Times New Roman"/>
        </w:rPr>
        <w:tab/>
        <w:t xml:space="preserve">The complementarian relies too heavily, however, on the strength of the presumption of compliance in the face of an ever-changing international landscape. On the face of the situation, the Statute’s reliance on complementarity and the States Parties’ assent to the treaty serve as evidence of shared morality as a group endeavor. All three of the above considerations are present within the Statute’s regime; there exists a status quo for States Parties to maintain, the ratification of the treaty contained accommodations to the States Parties, and the Statute itself created a norm for the States </w:t>
      </w:r>
      <w:r w:rsidRPr="00F37018">
        <w:rPr>
          <w:rFonts w:ascii="Times New Roman" w:hAnsi="Times New Roman"/>
        </w:rPr>
        <w:lastRenderedPageBreak/>
        <w:t xml:space="preserve">Parties. But evidence of States Parties’ actions does not confirm this </w:t>
      </w:r>
      <w:r w:rsidRPr="00F37018">
        <w:rPr>
          <w:rFonts w:ascii="Times New Roman" w:hAnsi="Times New Roman"/>
          <w:i/>
          <w:iCs/>
        </w:rPr>
        <w:t>shared</w:t>
      </w:r>
      <w:r w:rsidRPr="00F37018">
        <w:rPr>
          <w:rFonts w:ascii="Times New Roman" w:hAnsi="Times New Roman"/>
        </w:rPr>
        <w:t xml:space="preserve"> morality, nor does it confirm that a strong presumption of compliance exists. The example set by Germany is most pertinent here to illustrate the weakness of this presumption.</w:t>
      </w:r>
    </w:p>
    <w:p w14:paraId="682791F0" w14:textId="3667C4F0" w:rsidR="00511561" w:rsidRPr="00F37018" w:rsidRDefault="00511561" w:rsidP="00B2682D">
      <w:pPr>
        <w:pStyle w:val="Document"/>
        <w:rPr>
          <w:rFonts w:ascii="Times New Roman" w:hAnsi="Times New Roman"/>
        </w:rPr>
      </w:pPr>
      <w:r w:rsidRPr="00F37018">
        <w:rPr>
          <w:rFonts w:ascii="Times New Roman" w:hAnsi="Times New Roman"/>
        </w:rPr>
        <w:t>Before its most recent election, Germany did not give a clear indication on whether it would facilitate Netanyahu’s arrest. Now, after Friedrich Merz’s CDU party’s victory, Germany seems more comfortable with non-compliance. In support of this decision, a German government spokesperson stated that Germany “was involved in the drafting of the ICC statute and is one of the ICC’s biggest supporters. This position [of non-compliance] is also a result of German history” in that “a consequence of German history is that [Germany has] a unique relationship and a great responsibility to Israel.”</w:t>
      </w:r>
      <w:r w:rsidRPr="00F37018">
        <w:rPr>
          <w:rStyle w:val="NoteRefInText"/>
          <w:rFonts w:eastAsiaTheme="majorEastAsia"/>
        </w:rPr>
        <w:footnoteReference w:id="182"/>
      </w:r>
      <w:r w:rsidRPr="00F37018">
        <w:rPr>
          <w:rFonts w:ascii="Times New Roman" w:hAnsi="Times New Roman"/>
        </w:rPr>
        <w:t xml:space="preserve"> This justification puts Germany’s decision at odds with the complementarian’s argument, challenging both the efficiency and norm considerations.</w:t>
      </w:r>
    </w:p>
    <w:p w14:paraId="21B2ED9E" w14:textId="71AF7D16" w:rsidR="00511561" w:rsidRPr="00F37018" w:rsidRDefault="00511561" w:rsidP="00B2682D">
      <w:pPr>
        <w:pStyle w:val="Document"/>
        <w:rPr>
          <w:rFonts w:ascii="Times New Roman" w:hAnsi="Times New Roman"/>
        </w:rPr>
      </w:pPr>
      <w:r w:rsidRPr="00F37018">
        <w:rPr>
          <w:rFonts w:ascii="Times New Roman" w:hAnsi="Times New Roman"/>
        </w:rPr>
        <w:t>First, the “heavy burden of persuasion” is questionable based on Germany’s actions and comments.</w:t>
      </w:r>
      <w:r w:rsidRPr="00F37018">
        <w:rPr>
          <w:rStyle w:val="NoteRefInText"/>
          <w:rFonts w:eastAsiaTheme="majorEastAsia"/>
        </w:rPr>
        <w:footnoteReference w:id="183"/>
      </w:r>
      <w:r w:rsidRPr="00F37018">
        <w:rPr>
          <w:rFonts w:ascii="Times New Roman" w:hAnsi="Times New Roman"/>
        </w:rPr>
        <w:t xml:space="preserve"> As of February 23, 2025, the day of the German federal elections, Germany’s position regarding Netanyahu’s arrest warrant was unclear. Certainly, the German Chancellor at the time of the election, Olaf Scholz, considered Germany’s support for the ICC when maintaining the middle ground on Netanyahu’s arrest. Yet only a day later, once the CDU party won Germany’s federal elections, the official stance changed. It does not seem that any monumental event negatively affected Germany’s support for the ICC in a single day. Nor does it seem that anything so positively affected Germany’s relationship with Israel. So then, how strong could the complementarian’s presumption be if the heavy burden of persuasion is met in a single day without positive or negative factors clearly present?</w:t>
      </w:r>
    </w:p>
    <w:p w14:paraId="79DF1382" w14:textId="28E59396" w:rsidR="00511561" w:rsidRPr="00F37018" w:rsidRDefault="00511561" w:rsidP="00B2682D">
      <w:pPr>
        <w:pStyle w:val="Document"/>
        <w:rPr>
          <w:rFonts w:ascii="Times New Roman" w:hAnsi="Times New Roman"/>
        </w:rPr>
      </w:pPr>
      <w:r w:rsidRPr="00F37018">
        <w:rPr>
          <w:rFonts w:ascii="Times New Roman" w:hAnsi="Times New Roman"/>
        </w:rPr>
        <w:t>Second, the complementarian’s argument for the presumption of compliance relies heavily on “the absence of strong countervailing circumstances.”</w:t>
      </w:r>
      <w:r w:rsidRPr="00F37018">
        <w:rPr>
          <w:rStyle w:val="NoteRefInText"/>
          <w:rFonts w:eastAsiaTheme="majorEastAsia"/>
        </w:rPr>
        <w:footnoteReference w:id="184"/>
      </w:r>
      <w:r w:rsidRPr="00F37018">
        <w:rPr>
          <w:rFonts w:ascii="Times New Roman" w:hAnsi="Times New Roman"/>
        </w:rPr>
        <w:t xml:space="preserve"> The German government spokesperson’s comments present two circumstances here, both of considerably equal strength. Germany’s support for the ICC and its unique relationship with Israel seem to be at odds, so the explanation might be that Germany’s relationship with Israel is of significant countervailing strength to justify non-compliance with the Rome Statute. This explanation fails to account for the </w:t>
      </w:r>
      <w:r w:rsidRPr="00F37018">
        <w:rPr>
          <w:rFonts w:ascii="Times New Roman" w:hAnsi="Times New Roman"/>
        </w:rPr>
        <w:lastRenderedPageBreak/>
        <w:t>questionable timing that also exposed the weakness of the presumption’s efficiency consideration. There is little evidence that Germany’s cost-benefit analysis changed on election day. The strength of both Germany’s support for the ICC and its relationship with Israel were seemingly the same before and after the election. The only significant difference is the person deciding what actions Germany would take; it is not out of the realm of possibility that the lack of ICC enforcement opened an opportunity for a power nation like Germany to violate the Statute without tangible consequence.</w:t>
      </w:r>
    </w:p>
    <w:p w14:paraId="7DFC55FD" w14:textId="0B12068D" w:rsidR="00511561" w:rsidRPr="00F37018" w:rsidRDefault="00511561" w:rsidP="00B2682D">
      <w:pPr>
        <w:pStyle w:val="Document"/>
        <w:rPr>
          <w:rFonts w:ascii="Times New Roman" w:hAnsi="Times New Roman"/>
        </w:rPr>
      </w:pPr>
      <w:r w:rsidRPr="00F37018">
        <w:rPr>
          <w:rFonts w:ascii="Times New Roman" w:hAnsi="Times New Roman"/>
        </w:rPr>
        <w:t>This school of thought’s main downfall is twofold. First, the reliance on a presumption that necessitates uniformity among all actors in a situation is difficult without a reason for uniformity. Without coercive enforcement, uniformity is difficult to attain here. Second, the lack of enforcement allows strong actors, like Germany, to play both sides to the detriment of the complementarity regime. This does, however, highlight the instability of complementarity when circumstances are sufficient to urge powerful States Parties to take a chance at violation.</w:t>
      </w:r>
    </w:p>
    <w:p w14:paraId="547BBD2D" w14:textId="73E63110" w:rsidR="00511561" w:rsidRPr="00F37018" w:rsidRDefault="00511561" w:rsidP="00B2682D">
      <w:pPr>
        <w:pStyle w:val="Document"/>
        <w:rPr>
          <w:rFonts w:ascii="Times New Roman" w:hAnsi="Times New Roman"/>
        </w:rPr>
      </w:pPr>
      <w:r w:rsidRPr="00F37018">
        <w:rPr>
          <w:rFonts w:ascii="Times New Roman" w:hAnsi="Times New Roman"/>
        </w:rPr>
        <w:t>Game theory is helpful in the present circumstances, but it is important to pinpoint which perspective is most helpful analytically based on the facts at hand. The self-interest school of thought directs the analysis toward the most likely outcome, because it is more open to accounting for self-interest without a self-imposed high burden of persuasion. This high burden of persuasion functions as an analytical shortcut, allowing scholars to discount influences on States Parties by presuming that all actors function within a uniform train of thought. This turns a blind eye to significant analytical markers that the self-interest school utilizes to reach conclusions. Furthermore, the self-interest school and the second objection to the normative school both suggest that the ICC’s lack of an enforcement mechanism is an important factor in the analysis. Thus, to hypothesize about a resolution, the former school of thought, with its assumption that States Parties will act consistently with their self-interests, will be utilized.</w:t>
      </w:r>
    </w:p>
    <w:p w14:paraId="2A154157" w14:textId="52E0884A" w:rsidR="00511561" w:rsidRPr="00F37018" w:rsidRDefault="009A7D11" w:rsidP="00B2682D">
      <w:pPr>
        <w:pStyle w:val="Head2"/>
        <w:rPr>
          <w:rFonts w:ascii="Times New Roman" w:hAnsi="Times New Roman"/>
        </w:rPr>
      </w:pPr>
      <w:bookmarkStart w:id="14" w:name="_Toc226031990"/>
      <w:r>
        <w:rPr>
          <w:rFonts w:ascii="Times New Roman" w:hAnsi="Times New Roman"/>
        </w:rPr>
        <w:t>C</w:t>
      </w:r>
      <w:r w:rsidR="00511561" w:rsidRPr="00F37018">
        <w:rPr>
          <w:rFonts w:ascii="Times New Roman" w:hAnsi="Times New Roman"/>
        </w:rPr>
        <w:t>.</w:t>
      </w:r>
      <w:r w:rsidR="00511561" w:rsidRPr="00F37018">
        <w:rPr>
          <w:rFonts w:ascii="Times New Roman" w:hAnsi="Times New Roman"/>
        </w:rPr>
        <w:tab/>
        <w:t>A (Lack of) Resolution to the Israel-Palestine Conflict Under Game Theory</w:t>
      </w:r>
      <w:bookmarkEnd w:id="14"/>
    </w:p>
    <w:p w14:paraId="2F9E76B8" w14:textId="2E316F53" w:rsidR="00511561" w:rsidRPr="00F37018" w:rsidRDefault="00511561" w:rsidP="00B2682D">
      <w:pPr>
        <w:pStyle w:val="Document"/>
        <w:rPr>
          <w:rFonts w:ascii="Times New Roman" w:hAnsi="Times New Roman"/>
        </w:rPr>
      </w:pPr>
      <w:r w:rsidRPr="00F37018">
        <w:rPr>
          <w:rFonts w:ascii="Times New Roman" w:hAnsi="Times New Roman"/>
        </w:rPr>
        <w:t xml:space="preserve">Because the self-interest school provides a framework that truly analyzes actors’ self-interests without reliance on fallible assumptions, it is of best use here. Based on this approach, it is unlikely that any State Party will arrest Netanyahu pursuant to the </w:t>
      </w:r>
      <w:r w:rsidRPr="00F37018">
        <w:rPr>
          <w:rFonts w:ascii="Times New Roman" w:hAnsi="Times New Roman"/>
        </w:rPr>
        <w:lastRenderedPageBreak/>
        <w:t>ICC’s arrest warrant. Three different countries best illustrate and represent the likely actions of States Parties here. These three countries—Hungary, Belgium, and Germany—are representative of other countries that are likely to mirror their decisions.</w:t>
      </w:r>
    </w:p>
    <w:p w14:paraId="01836FFD" w14:textId="77777777" w:rsidR="00511561" w:rsidRPr="00F37018" w:rsidRDefault="00511561" w:rsidP="00B2682D">
      <w:pPr>
        <w:pStyle w:val="Document"/>
        <w:rPr>
          <w:rFonts w:ascii="Times New Roman" w:hAnsi="Times New Roman"/>
        </w:rPr>
      </w:pPr>
      <w:r w:rsidRPr="00F37018">
        <w:rPr>
          <w:rFonts w:ascii="Times New Roman" w:hAnsi="Times New Roman"/>
        </w:rPr>
        <w:t>The following analysis discusses first that some States Parties have no qualms with non-compliance, because the ICC cannot meaningfully enforce the Statute. Next, it posits that other States Parties, despite the lack of ICC enforcement capabilities, are likely to comply with the Statute because their interests align with compliance. Additionally, it explores the fact that though these States Parties may wish to comply, they cannot for reasons outside of their control. And finally, while it recognizes that a select few States Parties may hold reservations about non-compliance, the interests in favor of compliance outweigh those in compliance.</w:t>
      </w:r>
    </w:p>
    <w:p w14:paraId="52F81253" w14:textId="6C780238" w:rsidR="00511561" w:rsidRPr="00F37018" w:rsidRDefault="00511561" w:rsidP="00B2682D">
      <w:pPr>
        <w:pStyle w:val="Document"/>
        <w:rPr>
          <w:rFonts w:ascii="Times New Roman" w:hAnsi="Times New Roman"/>
        </w:rPr>
      </w:pPr>
      <w:r w:rsidRPr="00F37018">
        <w:rPr>
          <w:rFonts w:ascii="Times New Roman" w:hAnsi="Times New Roman"/>
        </w:rPr>
        <w:t>Hungary has made clear that non-compliance is preferable. Hungary’s justification for violation resembles the rhetoric on which the United States’ opposition to the ICC is based.</w:t>
      </w:r>
      <w:r w:rsidRPr="00F37018">
        <w:rPr>
          <w:rStyle w:val="NoteRefInText"/>
          <w:rFonts w:eastAsiaTheme="majorEastAsia"/>
        </w:rPr>
        <w:footnoteReference w:id="185"/>
      </w:r>
      <w:r w:rsidRPr="00F37018">
        <w:rPr>
          <w:rFonts w:ascii="Times New Roman" w:hAnsi="Times New Roman"/>
        </w:rPr>
        <w:t xml:space="preserve"> Hungary’s specific justification here is that the ICC “lost its meaning by conducting political instead of legal activities.”</w:t>
      </w:r>
      <w:r w:rsidRPr="00F37018">
        <w:rPr>
          <w:rStyle w:val="NoteRefInText"/>
          <w:rFonts w:eastAsiaTheme="majorEastAsia"/>
        </w:rPr>
        <w:footnoteReference w:id="186"/>
      </w:r>
      <w:r w:rsidRPr="00F37018">
        <w:rPr>
          <w:rFonts w:ascii="Times New Roman" w:hAnsi="Times New Roman"/>
        </w:rPr>
        <w:t xml:space="preserve"> Whether Hungary’s officials truly believe this, or are using this justification posture against the ICC is not the topic of this paper. But because available evidence does not outright suggest such posture, it could be assumed that Hungary’s self-interest lies in proper adjudication consistent with “legal activities” rather than “political” activities.</w:t>
      </w:r>
      <w:r w:rsidRPr="00F37018">
        <w:rPr>
          <w:rStyle w:val="NoteRefInText"/>
          <w:rFonts w:eastAsiaTheme="majorEastAsia"/>
        </w:rPr>
        <w:footnoteReference w:id="187"/>
      </w:r>
    </w:p>
    <w:p w14:paraId="542A85A0" w14:textId="4CFF99EA" w:rsidR="00511561" w:rsidRPr="00F37018" w:rsidRDefault="00511561" w:rsidP="00B2682D">
      <w:pPr>
        <w:pStyle w:val="Document"/>
        <w:rPr>
          <w:rFonts w:ascii="Times New Roman" w:hAnsi="Times New Roman"/>
        </w:rPr>
      </w:pPr>
      <w:r w:rsidRPr="00F37018">
        <w:rPr>
          <w:rFonts w:ascii="Times New Roman" w:hAnsi="Times New Roman"/>
        </w:rPr>
        <w:t>Assuming that this justification is exemplary of Hungary’s self-interest, game theory weighs this against other self-interests, like avoidance of referral. This weighing underscores why some States Parties like Hungary opt for non-compliance: despite referral power, the ICC cannot coerce States Parties because it lacks true enforcement capabilities. Because, as discussed above, the ICC’s only means of “enforcement” is referral to the Assembly of States Parties, interest balancing will not favor compliance in the face of weightier interests. A referral is unlikely to result in tangible coercive effect. Thus, certain States Parties, after balancing their interests, can and will violate the Statute with impunity if they deem it preferable to compliance. This is clearly displayed by Hungary, and other countries could follow suit.</w:t>
      </w:r>
    </w:p>
    <w:p w14:paraId="7E551FB7" w14:textId="0EE2EC53" w:rsidR="00511561" w:rsidRPr="00F37018" w:rsidRDefault="00511561" w:rsidP="00B2682D">
      <w:pPr>
        <w:pStyle w:val="Document"/>
        <w:rPr>
          <w:rFonts w:ascii="Times New Roman" w:hAnsi="Times New Roman"/>
        </w:rPr>
      </w:pPr>
      <w:r w:rsidRPr="00F37018">
        <w:rPr>
          <w:rFonts w:ascii="Times New Roman" w:hAnsi="Times New Roman"/>
        </w:rPr>
        <w:lastRenderedPageBreak/>
        <w:t>The countries represented by Belgium</w:t>
      </w:r>
      <w:r w:rsidRPr="00F37018">
        <w:rPr>
          <w:rStyle w:val="NoteRefInText"/>
          <w:rFonts w:eastAsiaTheme="majorEastAsia"/>
        </w:rPr>
        <w:footnoteReference w:id="188"/>
      </w:r>
      <w:r w:rsidRPr="00F37018">
        <w:rPr>
          <w:rFonts w:ascii="Times New Roman" w:hAnsi="Times New Roman"/>
        </w:rPr>
        <w:t xml:space="preserve"> have provided a strong indication of intent to arrest Netanyahu, which is indicative of alignment between their interests and compliance. Belgium has stated that it will not apply “double standards,”</w:t>
      </w:r>
      <w:r w:rsidRPr="00F37018">
        <w:rPr>
          <w:rStyle w:val="NoteRefInText"/>
          <w:rFonts w:eastAsiaTheme="majorEastAsia"/>
        </w:rPr>
        <w:footnoteReference w:id="189"/>
      </w:r>
      <w:r w:rsidRPr="00F37018">
        <w:rPr>
          <w:rFonts w:ascii="Times New Roman" w:hAnsi="Times New Roman"/>
        </w:rPr>
        <w:t xml:space="preserve"> so its self-interests evidently align with compliance with the Statute. I would argue, however, that this alignment suggests that compliance is preferable because Belgium, and the countries it represents, do not have any interests weighing against compliance. Belgium, and its cohort, do not have as unique a relationship with Israel as Germany does.</w:t>
      </w:r>
      <w:r w:rsidRPr="00F37018">
        <w:rPr>
          <w:rStyle w:val="NoteRefInText"/>
          <w:rFonts w:eastAsiaTheme="majorEastAsia"/>
        </w:rPr>
        <w:footnoteReference w:id="190"/>
      </w:r>
      <w:r w:rsidRPr="00F37018">
        <w:rPr>
          <w:rFonts w:ascii="Times New Roman" w:hAnsi="Times New Roman"/>
        </w:rPr>
        <w:t xml:space="preserve"> Furthermore, these countries can be characterized as smaller geopolitical powers. Only one country is currently a member of the United Nations’ Security Council, in a non-permanent capacity, and none are permanent members.</w:t>
      </w:r>
      <w:r w:rsidRPr="00F37018">
        <w:rPr>
          <w:rStyle w:val="NoteRefInText"/>
          <w:rFonts w:eastAsiaTheme="majorEastAsia"/>
        </w:rPr>
        <w:footnoteReference w:id="191"/>
      </w:r>
      <w:r w:rsidRPr="00F37018">
        <w:rPr>
          <w:rFonts w:ascii="Times New Roman" w:hAnsi="Times New Roman"/>
        </w:rPr>
        <w:t xml:space="preserve"> It follows, then, that none of these countries are equipped with the geopolitical clout necessary to be considered large powers. Without influence, Belgium’s and this group’s decisions may have little impact on the situation. Also undermining the impact that these countries may have is the fact that the publicity of their intentions will disincentivize Netanyahu’s travel to those countries. If Netanyahu does not travel to these countries, then they simply cannot arrest him.</w:t>
      </w:r>
      <w:r w:rsidRPr="00F37018">
        <w:rPr>
          <w:rStyle w:val="NoteRefInText"/>
          <w:rFonts w:eastAsiaTheme="majorEastAsia"/>
        </w:rPr>
        <w:footnoteReference w:id="192"/>
      </w:r>
      <w:r w:rsidRPr="00F37018">
        <w:rPr>
          <w:rFonts w:ascii="Times New Roman" w:hAnsi="Times New Roman"/>
        </w:rPr>
        <w:t xml:space="preserve"> Thus, despite these countries’ clear intentions of arrest, it is highly unlikely that they will effectuate that intention, because the opportunity is unlikely to present itself.</w:t>
      </w:r>
    </w:p>
    <w:p w14:paraId="1C8E73D4" w14:textId="77777777" w:rsidR="00511561" w:rsidRPr="00F37018" w:rsidRDefault="00511561" w:rsidP="00B2682D">
      <w:pPr>
        <w:pStyle w:val="Document"/>
        <w:rPr>
          <w:rFonts w:ascii="Times New Roman" w:hAnsi="Times New Roman"/>
        </w:rPr>
      </w:pPr>
      <w:r w:rsidRPr="00F37018">
        <w:rPr>
          <w:rFonts w:ascii="Times New Roman" w:hAnsi="Times New Roman"/>
        </w:rPr>
        <w:t xml:space="preserve">Finally, Germany and the countries it represents are unlikely to arrest Netanyahu because their self-interest determination favors non-compliance. The unique relationship with Israel cited by Germany is likely not an interest shared by other countries, but is representative of sufficiently weighty interests that complicate decision-making. Germany is stuck between a rock and a hard place </w:t>
      </w:r>
      <w:r w:rsidRPr="00F37018">
        <w:rPr>
          <w:rFonts w:ascii="Times New Roman" w:hAnsi="Times New Roman"/>
        </w:rPr>
        <w:lastRenderedPageBreak/>
        <w:t>because of its support for and adherence to the ICC, but also because of its history with the state of Israel.</w:t>
      </w:r>
      <w:r w:rsidRPr="00F37018">
        <w:rPr>
          <w:rStyle w:val="NoteRefInText"/>
          <w:rFonts w:eastAsiaTheme="majorEastAsia"/>
        </w:rPr>
        <w:footnoteReference w:id="193"/>
      </w:r>
    </w:p>
    <w:p w14:paraId="2300F977" w14:textId="188BDD72" w:rsidR="00511561" w:rsidRPr="00F37018" w:rsidRDefault="00511561" w:rsidP="00B2682D">
      <w:pPr>
        <w:pStyle w:val="Document"/>
        <w:rPr>
          <w:rFonts w:ascii="Times New Roman" w:hAnsi="Times New Roman"/>
        </w:rPr>
      </w:pPr>
      <w:r w:rsidRPr="00F37018">
        <w:rPr>
          <w:rFonts w:ascii="Times New Roman" w:hAnsi="Times New Roman"/>
        </w:rPr>
        <w:t>Finding this balance is, unsurprisingly, difficult for Germany. The ICC, however, cannot coerce Germany into compliance. The Assembly of States Parties cannot impose significant coercion on Germany for non-compliance, because a referral to the Assembly would only result in a resolution to affirm cooperation in the future.</w:t>
      </w:r>
      <w:r w:rsidRPr="00F37018">
        <w:rPr>
          <w:rStyle w:val="NoteRefInText"/>
          <w:rFonts w:eastAsiaTheme="majorEastAsia"/>
        </w:rPr>
        <w:footnoteReference w:id="194"/>
      </w:r>
      <w:r w:rsidRPr="00F37018">
        <w:rPr>
          <w:rFonts w:ascii="Times New Roman" w:hAnsi="Times New Roman"/>
        </w:rPr>
        <w:t xml:space="preserve"> The ICC, simply put, cannot effectively coerce Germany without meaningful enforcement mechanisms. Furthermore, it is unlikely that coercion would take place outside of the ICC’s purview. Germany is an economic powerhouse in Europe,</w:t>
      </w:r>
      <w:r w:rsidRPr="00F37018">
        <w:rPr>
          <w:rStyle w:val="NoteRefInText"/>
          <w:rFonts w:eastAsiaTheme="majorEastAsia"/>
        </w:rPr>
        <w:footnoteReference w:id="195"/>
      </w:r>
      <w:r w:rsidRPr="00F37018">
        <w:rPr>
          <w:rFonts w:ascii="Times New Roman" w:hAnsi="Times New Roman"/>
        </w:rPr>
        <w:t xml:space="preserve"> so it is unlikely that a sanctions regime would be preferable for any State Party. Smaller countries, economically speaking, would likely harm their own economies if they decide to sanction Germany for its decision. Without meaningful ICC enforcement or coercive economic measures levied against it, Germany is unlikely to lose sleep over non-compliance. Evident of this is soon-to-be German Chancellor Friedrich Merz’s remark that Germany will find a way to welcome Netanyahu for a visit to Germany, without fear of arrest.</w:t>
      </w:r>
      <w:r w:rsidRPr="00F37018">
        <w:rPr>
          <w:rStyle w:val="NoteRefInText"/>
          <w:rFonts w:eastAsiaTheme="majorEastAsia"/>
        </w:rPr>
        <w:footnoteReference w:id="196"/>
      </w:r>
      <w:r w:rsidRPr="00F37018">
        <w:rPr>
          <w:rFonts w:ascii="Times New Roman" w:hAnsi="Times New Roman"/>
        </w:rPr>
        <w:t xml:space="preserve"> Thus, it is unlikely that Germany will comply with the arrest warrant against Netanyahu because sufficient coercion is not present, so Germany’s interest in its relationship with Israel will not be outweighed.</w:t>
      </w:r>
    </w:p>
    <w:p w14:paraId="776EFE3A" w14:textId="47BAEFEB" w:rsidR="00511561" w:rsidRPr="00F37018" w:rsidRDefault="00511561" w:rsidP="00B2682D">
      <w:pPr>
        <w:pStyle w:val="Document"/>
        <w:rPr>
          <w:rFonts w:ascii="Times New Roman" w:hAnsi="Times New Roman"/>
        </w:rPr>
      </w:pPr>
      <w:r w:rsidRPr="00F37018">
        <w:rPr>
          <w:rFonts w:ascii="Times New Roman" w:hAnsi="Times New Roman"/>
        </w:rPr>
        <w:t xml:space="preserve">Thus, I conclude that Netanyahu will not be arrested by a State Party. The different States Parties’ decision-making is best understood here through game theory analysis of their interests. Game theory analysis of Netanyahu’s arrest warrant exemplifies the murky, interest-bound determinations made by States Parties when considering enforcement of international criminal law. Both compliant and non-compliant actions taken by States Parties reflect those required determinations. In analyzing interest determinations, clear indications of compliance are understandable. But understanding the interest determinations does not equate to the intentions borne from those determinations coming to fruition. Also, Germany’s determination exhibits the deficiency of analyzing </w:t>
      </w:r>
      <w:r w:rsidRPr="00F37018">
        <w:rPr>
          <w:rFonts w:ascii="Times New Roman" w:hAnsi="Times New Roman"/>
        </w:rPr>
        <w:lastRenderedPageBreak/>
        <w:t>this situation solely out of legal norms. Germany has been a staunch supporter of the ICC, but its own interests here outweigh compliance. Finally, no State Party will travel to Israel to arrest Netanyahu, and risk an adverse military reaction from Israel. Thus, it is neither in any States Parties’ self-interest to go out of their way to arrest Netanyahu, nor is it in Netanyahu’s self-interest to travel to countries intending to arrest him. Therefore, he is not likely to be arrested pursuant to the ICC’s warrant unless circumstances change.</w:t>
      </w:r>
    </w:p>
    <w:p w14:paraId="781BF984" w14:textId="77777777" w:rsidR="00511561" w:rsidRPr="00F37018" w:rsidRDefault="00511561" w:rsidP="00B2682D">
      <w:pPr>
        <w:pStyle w:val="Head1"/>
        <w:rPr>
          <w:rFonts w:ascii="Times New Roman" w:hAnsi="Times New Roman"/>
        </w:rPr>
      </w:pPr>
      <w:bookmarkStart w:id="15" w:name="_Toc226031991"/>
      <w:r w:rsidRPr="00F37018">
        <w:rPr>
          <w:rFonts w:ascii="Times New Roman" w:hAnsi="Times New Roman"/>
        </w:rPr>
        <w:t>V.   Conclusion</w:t>
      </w:r>
      <w:bookmarkEnd w:id="15"/>
    </w:p>
    <w:p w14:paraId="6440464B" w14:textId="77777777" w:rsidR="00511561" w:rsidRPr="00F37018" w:rsidRDefault="00511561" w:rsidP="00B2682D">
      <w:pPr>
        <w:pStyle w:val="Document"/>
        <w:rPr>
          <w:rFonts w:ascii="Times New Roman" w:hAnsi="Times New Roman"/>
        </w:rPr>
      </w:pPr>
      <w:r w:rsidRPr="00F37018">
        <w:rPr>
          <w:rFonts w:ascii="Times New Roman" w:hAnsi="Times New Roman"/>
        </w:rPr>
        <w:t>The crimes committed throughout the Israel-Palestine conflict following the attacks of October 7 should not go unpunished, but without meaningful enforcement by the ICC on States Parties, arrest is unlikely. As of now, little progress has been shown, and the ICC sits in limbo until an arrest occurs. But the ICC has little reason to believe that an arrest is imminent, based on the reactions of the States Parties.</w:t>
      </w:r>
    </w:p>
    <w:p w14:paraId="10D5A981" w14:textId="77777777" w:rsidR="00511561" w:rsidRPr="00F37018" w:rsidRDefault="00511561" w:rsidP="00B2682D">
      <w:pPr>
        <w:pStyle w:val="Document"/>
        <w:rPr>
          <w:rFonts w:ascii="Times New Roman" w:hAnsi="Times New Roman"/>
        </w:rPr>
      </w:pPr>
      <w:r w:rsidRPr="00F37018">
        <w:rPr>
          <w:rFonts w:ascii="Times New Roman" w:hAnsi="Times New Roman"/>
        </w:rPr>
        <w:t>The structure of the Rome Statute makes the situation clear: the ICC cannot and will not enforce its decisions or proclamations, so the duty falls to the States Parties. But when the States Parties refuse to comply, or are unable to, justice is disserved. The ICC, however, cannot meaningfully coerce the States Parties to comply with the Statute. So, not only is the ICC unable to enforce its jurisdiction against the individuals it targets, but it also cannot enforce compliance against non-compliant States Parties. It is, thus, quite naïve to analyze the Netanyahu arrest warrant under the Statute, and rather an alternative analytical framework is required.</w:t>
      </w:r>
    </w:p>
    <w:p w14:paraId="6FD46FCF" w14:textId="456904D9" w:rsidR="00511561" w:rsidRPr="00F37018" w:rsidRDefault="00511561" w:rsidP="00B2682D">
      <w:pPr>
        <w:pStyle w:val="Document"/>
        <w:rPr>
          <w:rFonts w:ascii="Times New Roman" w:hAnsi="Times New Roman"/>
        </w:rPr>
      </w:pPr>
      <w:r w:rsidRPr="00F37018">
        <w:rPr>
          <w:rFonts w:ascii="Times New Roman" w:hAnsi="Times New Roman"/>
        </w:rPr>
        <w:t>Viewing the compliance issues with ICC actions is best done through game theory analysis that accounts for self-interested behavior, rather than basing analysis on the assumption that actors will comply with the Rome Statute simply because it is the law. States Parties are not a monolith of course, so some States Parties may decide that compliance is the only option, while others weigh compliance with different interests they feel best serve them. Examples of non-compliance based on national interests can be found in the ICC’s handling of Mongolia,</w:t>
      </w:r>
      <w:r w:rsidRPr="00F37018">
        <w:rPr>
          <w:rStyle w:val="NoteRefInText"/>
          <w:rFonts w:eastAsiaTheme="majorEastAsia"/>
        </w:rPr>
        <w:footnoteReference w:id="197"/>
      </w:r>
      <w:r w:rsidRPr="00F37018">
        <w:rPr>
          <w:rFonts w:ascii="Times New Roman" w:hAnsi="Times New Roman"/>
        </w:rPr>
        <w:t xml:space="preserve"> as well as recent German remarks about allowing Netanyahu to visit Germany.</w:t>
      </w:r>
      <w:r w:rsidRPr="00F37018">
        <w:rPr>
          <w:rStyle w:val="NoteRefInText"/>
          <w:rFonts w:eastAsiaTheme="majorEastAsia"/>
        </w:rPr>
        <w:footnoteReference w:id="198"/>
      </w:r>
      <w:r w:rsidRPr="00F37018">
        <w:rPr>
          <w:rFonts w:ascii="Times New Roman" w:hAnsi="Times New Roman"/>
        </w:rPr>
        <w:t xml:space="preserve"> Thus, the game theory analytical framework provides a </w:t>
      </w:r>
      <w:r w:rsidRPr="00F37018">
        <w:rPr>
          <w:rFonts w:ascii="Times New Roman" w:hAnsi="Times New Roman"/>
        </w:rPr>
        <w:lastRenderedPageBreak/>
        <w:t>contextualized understanding of the decision-making of the different States Parties, that is better informed than analyses that place international legal norms above all else.</w:t>
      </w:r>
    </w:p>
    <w:p w14:paraId="43D25002" w14:textId="77777777" w:rsidR="00511561" w:rsidRPr="00F37018" w:rsidRDefault="00511561" w:rsidP="00B2682D">
      <w:pPr>
        <w:pStyle w:val="Document"/>
        <w:rPr>
          <w:rFonts w:ascii="Times New Roman" w:hAnsi="Times New Roman"/>
        </w:rPr>
      </w:pPr>
      <w:r w:rsidRPr="00F37018">
        <w:rPr>
          <w:rFonts w:ascii="Times New Roman" w:hAnsi="Times New Roman"/>
        </w:rPr>
        <w:t>Also, game theory analysis accounts for the different interests of actors in each situation, without relying on presumptions that afford greater weight to lofty, idealistic understandings of international relations. Though it may be preferable that States Parties always comply with the Statute because of the goals that the Statute advances, this would not lend due weight to the considerations made by States Parties as individual actors. And, without an enforcement mechanism, or any meaningfully coercive mechanisms, compliance may not always outweigh national interests if a referral to the Assembly of States Parties is threatened. It is, thus, inapposite to categorically assert that compliance with the Rome Statute is the baseline from which analysis flows.</w:t>
      </w:r>
    </w:p>
    <w:p w14:paraId="4EF311FC" w14:textId="230D4E64" w:rsidR="00D945C7" w:rsidRPr="00F37018" w:rsidRDefault="00511561" w:rsidP="00B2682D">
      <w:pPr>
        <w:pStyle w:val="Document"/>
        <w:rPr>
          <w:rFonts w:ascii="Times New Roman" w:hAnsi="Times New Roman"/>
        </w:rPr>
      </w:pPr>
      <w:r w:rsidRPr="00F37018">
        <w:rPr>
          <w:rFonts w:ascii="Times New Roman" w:hAnsi="Times New Roman"/>
        </w:rPr>
        <w:t>While game theory analysis does not excuse any States Parties’ non-compliance with the Statute, it combats a naïve attitude borne from the structure of the ICC that, even without enforcement power, countries are incentivized to act in accordance with the complementarity regime by nature of their assent. Hungary and Germany have displayed non-compliant intent and have specifically highlighted reasons for that intent. This is evidence of national interests at odds with compliance. Other countries, like Belgium, have made clear that they intend to arrest Netanyahu and comply, but those countries likely do not face the specific circumstances influencing the decisions of Hungary and Germany. And, despite explicit intent to arrest, Netanyahu likely would not travel to any country publicly stating that intent. So, it is unlikely that Netanyahu will be arrested there. The ICC now sits frozen, waiting for an arrest. Without means of enforcement, therefore, the ICC cannot expect to fulfill its purpose, as stated in the Statute’s preamble, “to guarantee lasting respect for and the enforcement of international justice.”</w:t>
      </w:r>
      <w:r w:rsidRPr="00F37018">
        <w:rPr>
          <w:rStyle w:val="NoteRefInText"/>
          <w:rFonts w:eastAsiaTheme="majorEastAsia"/>
        </w:rPr>
        <w:footnoteReference w:id="199"/>
      </w:r>
    </w:p>
    <w:sectPr w:rsidR="00D945C7" w:rsidRPr="00F37018" w:rsidSect="00AE1294">
      <w:headerReference w:type="even" r:id="rId8"/>
      <w:headerReference w:type="first" r:id="rId9"/>
      <w:pgSz w:w="12240" w:h="15840"/>
      <w:pgMar w:top="720" w:right="2894" w:bottom="2635" w:left="2894" w:header="720" w:footer="26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B4D9" w14:textId="77777777" w:rsidR="005653B8" w:rsidRDefault="005653B8" w:rsidP="00511561">
      <w:pPr>
        <w:spacing w:after="0" w:line="240" w:lineRule="auto"/>
      </w:pPr>
      <w:r>
        <w:separator/>
      </w:r>
    </w:p>
  </w:endnote>
  <w:endnote w:type="continuationSeparator" w:id="0">
    <w:p w14:paraId="2E71CDB4" w14:textId="77777777" w:rsidR="005653B8" w:rsidRDefault="005653B8" w:rsidP="0051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64D6" w14:textId="77777777" w:rsidR="005653B8" w:rsidRPr="00511561" w:rsidRDefault="005653B8" w:rsidP="00511561">
      <w:pPr>
        <w:pStyle w:val="FootnoteSeparator"/>
      </w:pPr>
    </w:p>
  </w:footnote>
  <w:footnote w:type="continuationSeparator" w:id="0">
    <w:p w14:paraId="0A1363E8" w14:textId="77777777" w:rsidR="005653B8" w:rsidRPr="00511561" w:rsidRDefault="005653B8" w:rsidP="00511561">
      <w:pPr>
        <w:pStyle w:val="FootnoteSeparator"/>
      </w:pPr>
    </w:p>
  </w:footnote>
  <w:footnote w:id="1">
    <w:p w14:paraId="68B7C030" w14:textId="12F6FC63"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This note will focus primarily on the arrest warrant for Benajmin Netanyahu, because almost all available information on this matter centers around the Israeli Prime Minister. Dr. Talita Dias, </w:t>
      </w:r>
      <w:r w:rsidRPr="00511561">
        <w:rPr>
          <w:rFonts w:cs="Times"/>
          <w:i/>
          <w:iCs/>
        </w:rPr>
        <w:t>The ICC arrest warrants against Deif, Netanyahu and Gallant explained</w:t>
      </w:r>
      <w:r w:rsidRPr="00511561">
        <w:rPr>
          <w:rFonts w:cs="Times"/>
        </w:rPr>
        <w:t xml:space="preserve">, </w:t>
      </w:r>
      <w:r w:rsidRPr="00511561">
        <w:rPr>
          <w:rFonts w:cs="Times"/>
          <w:smallCaps/>
        </w:rPr>
        <w:t>Chatham House</w:t>
      </w:r>
      <w:r w:rsidRPr="00511561">
        <w:rPr>
          <w:rFonts w:cs="Times"/>
        </w:rPr>
        <w:t xml:space="preserve"> (Nov. 26, 2024), https://www.chathamhouse.org/2024/05/icc-prosecutors-applications-arrest-warrants-explained [https://perma.cc/4YAU-XAUK].</w:t>
      </w:r>
    </w:p>
  </w:footnote>
  <w:footnote w:id="2">
    <w:p w14:paraId="6C54E892" w14:textId="79929F3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w:t>
      </w:r>
      <w:r w:rsidRPr="00511561">
        <w:rPr>
          <w:rFonts w:cs="Times"/>
          <w:i/>
          <w:iCs/>
        </w:rPr>
        <w:t xml:space="preserve">see </w:t>
      </w:r>
      <w:r w:rsidRPr="00511561">
        <w:rPr>
          <w:rFonts w:cs="Times"/>
        </w:rPr>
        <w:t>Rome Statute of the Int</w:t>
      </w:r>
      <w:r>
        <w:rPr>
          <w:rFonts w:cs="Times"/>
        </w:rPr>
        <w:t>’</w:t>
      </w:r>
      <w:r w:rsidRPr="00511561">
        <w:rPr>
          <w:rFonts w:cs="Times"/>
        </w:rPr>
        <w:t>l Crim. Ct., art. 5, 2187 U.N.T.S. 90 (entered into force July 1, 2002) [hereinafter The Statute].</w:t>
      </w:r>
    </w:p>
  </w:footnote>
  <w:footnote w:id="3">
    <w:p w14:paraId="106B21E7" w14:textId="70E20D1C" w:rsidR="00511561" w:rsidRPr="00511561" w:rsidRDefault="00511561" w:rsidP="00511561">
      <w:pPr>
        <w:pStyle w:val="FootNote"/>
        <w:rPr>
          <w:rFonts w:cs="Times"/>
          <w:lang w:val="es-419"/>
        </w:rPr>
      </w:pPr>
      <w:r w:rsidRPr="00511561">
        <w:rPr>
          <w:rFonts w:cs="Times"/>
          <w:lang w:val="es-419"/>
        </w:rPr>
        <w:tab/>
      </w:r>
      <w:r w:rsidRPr="00511561">
        <w:rPr>
          <w:rStyle w:val="NoteRefInNote"/>
          <w:rFonts w:eastAsiaTheme="majorEastAsia"/>
        </w:rPr>
        <w:footnoteRef/>
      </w:r>
      <w:r w:rsidRPr="00511561">
        <w:rPr>
          <w:rFonts w:cs="Times"/>
          <w:lang w:val="es-419"/>
        </w:rPr>
        <w:tab/>
        <w:t xml:space="preserve">Dias, </w:t>
      </w:r>
      <w:r w:rsidRPr="00511561">
        <w:rPr>
          <w:rFonts w:cs="Times"/>
          <w:i/>
          <w:iCs/>
          <w:lang w:val="es-419"/>
        </w:rPr>
        <w:t xml:space="preserve">supra </w:t>
      </w:r>
      <w:r w:rsidRPr="00511561">
        <w:rPr>
          <w:rFonts w:cs="Times"/>
          <w:lang w:val="es-419"/>
        </w:rPr>
        <w:t>note 1.</w:t>
      </w:r>
    </w:p>
  </w:footnote>
  <w:footnote w:id="4">
    <w:p w14:paraId="79004DF1" w14:textId="3571387C" w:rsidR="00511561" w:rsidRPr="00511561" w:rsidRDefault="00511561" w:rsidP="00511561">
      <w:pPr>
        <w:pStyle w:val="FootNote"/>
        <w:rPr>
          <w:rFonts w:cs="Times"/>
          <w:lang w:val="es-419"/>
        </w:rPr>
      </w:pPr>
      <w:r w:rsidRPr="00511561">
        <w:rPr>
          <w:rFonts w:cs="Times"/>
          <w:i/>
          <w:iCs/>
          <w:lang w:val="es-419"/>
        </w:rPr>
        <w:tab/>
      </w:r>
      <w:r w:rsidRPr="00511561">
        <w:rPr>
          <w:rStyle w:val="NoteRefInNote"/>
          <w:rFonts w:eastAsiaTheme="majorEastAsia"/>
        </w:rPr>
        <w:footnoteRef/>
      </w:r>
      <w:r w:rsidRPr="00511561">
        <w:rPr>
          <w:rFonts w:cs="Times"/>
          <w:i/>
          <w:iCs/>
          <w:lang w:val="es-419"/>
        </w:rPr>
        <w:tab/>
        <w:t xml:space="preserve">See </w:t>
      </w:r>
      <w:r w:rsidRPr="00511561">
        <w:rPr>
          <w:rFonts w:cs="Times"/>
          <w:lang w:val="es-419"/>
        </w:rPr>
        <w:t xml:space="preserve">Dias, </w:t>
      </w:r>
      <w:r w:rsidRPr="00511561">
        <w:rPr>
          <w:rFonts w:cs="Times"/>
          <w:i/>
          <w:iCs/>
          <w:lang w:val="es-419"/>
        </w:rPr>
        <w:t xml:space="preserve">supra </w:t>
      </w:r>
      <w:r w:rsidRPr="00511561">
        <w:rPr>
          <w:rFonts w:cs="Times"/>
          <w:lang w:val="es-419"/>
        </w:rPr>
        <w:t>note 1.</w:t>
      </w:r>
    </w:p>
  </w:footnote>
  <w:footnote w:id="5">
    <w:p w14:paraId="1BBB0B24" w14:textId="704B10C0"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Dias, </w:t>
      </w:r>
      <w:r w:rsidRPr="00511561">
        <w:rPr>
          <w:rFonts w:cs="Times"/>
          <w:i/>
          <w:iCs/>
        </w:rPr>
        <w:t>supra</w:t>
      </w:r>
      <w:r w:rsidRPr="00511561">
        <w:rPr>
          <w:rFonts w:cs="Times"/>
        </w:rPr>
        <w:t xml:space="preserve"> note 1.</w:t>
      </w:r>
    </w:p>
  </w:footnote>
  <w:footnote w:id="6">
    <w:p w14:paraId="71A72FD4" w14:textId="32A36015"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Prosecutor v. Mongolia, ICC-01/22, Pre-Trial Chamber II, ¶ 40 (Oct. 24, 2024).</w:t>
      </w:r>
    </w:p>
  </w:footnote>
  <w:footnote w:id="7">
    <w:p w14:paraId="35E2CA5B" w14:textId="4BEC9E6F" w:rsidR="00511561" w:rsidRPr="00511561" w:rsidRDefault="00511561" w:rsidP="00511561">
      <w:pPr>
        <w:pStyle w:val="FootNote"/>
        <w:rPr>
          <w:rFonts w:cs="Times"/>
          <w:i/>
          <w:iCs/>
        </w:rPr>
      </w:pPr>
      <w:r w:rsidRPr="00511561">
        <w:rPr>
          <w:rFonts w:cs="Times"/>
          <w:i/>
          <w:iCs/>
        </w:rPr>
        <w:tab/>
      </w:r>
      <w:r w:rsidRPr="00511561">
        <w:rPr>
          <w:rStyle w:val="NoteRefInNote"/>
          <w:rFonts w:eastAsiaTheme="majorEastAsia"/>
        </w:rPr>
        <w:footnoteRef/>
      </w:r>
      <w:r w:rsidRPr="00511561">
        <w:rPr>
          <w:rFonts w:cs="Times"/>
          <w:i/>
          <w:iCs/>
        </w:rPr>
        <w:tab/>
        <w:t>Id.</w:t>
      </w:r>
    </w:p>
  </w:footnote>
  <w:footnote w:id="8">
    <w:p w14:paraId="5879E617" w14:textId="0690808F"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Mark Kersten, </w:t>
      </w:r>
      <w:r w:rsidRPr="00511561">
        <w:rPr>
          <w:rFonts w:cs="Times"/>
          <w:i/>
          <w:iCs/>
        </w:rPr>
        <w:t>Referring Kenya to the ICC Assembly of States Parties, Part 2: Implications for Cooperation and Enforcement</w:t>
      </w:r>
      <w:r w:rsidRPr="00511561">
        <w:rPr>
          <w:rFonts w:cs="Times"/>
        </w:rPr>
        <w:t xml:space="preserve">, </w:t>
      </w:r>
      <w:r w:rsidRPr="00511561">
        <w:rPr>
          <w:rFonts w:cs="Times"/>
          <w:smallCaps/>
        </w:rPr>
        <w:t>Just. in Conflict</w:t>
      </w:r>
      <w:r w:rsidRPr="00511561">
        <w:rPr>
          <w:rFonts w:cs="Times"/>
        </w:rPr>
        <w:t xml:space="preserve"> (Oct. 4, 2016), https://justiceinconflict.org/2016/10/04/referring-kenya-to-the-icc-assembly-of-states-parties-part-2-implications-for-cooperation-and-enforcement/ [https://perma.cc/P8WQ-JDAE]; </w:t>
      </w:r>
      <w:r w:rsidRPr="00511561">
        <w:rPr>
          <w:rFonts w:cs="Times"/>
          <w:i/>
          <w:iCs/>
        </w:rPr>
        <w:t xml:space="preserve">see </w:t>
      </w:r>
      <w:r w:rsidRPr="00511561">
        <w:rPr>
          <w:rFonts w:cs="Times"/>
        </w:rPr>
        <w:t xml:space="preserve">Jack Goldsmith, </w:t>
      </w:r>
      <w:r w:rsidRPr="00511561">
        <w:rPr>
          <w:rFonts w:cs="Times"/>
          <w:i/>
          <w:iCs/>
        </w:rPr>
        <w:t>The Self-Defeating International Criminal Court</w:t>
      </w:r>
      <w:r w:rsidRPr="00511561">
        <w:rPr>
          <w:rFonts w:cs="Times"/>
        </w:rPr>
        <w:t xml:space="preserve">, 70 </w:t>
      </w:r>
      <w:r w:rsidRPr="00511561">
        <w:rPr>
          <w:rFonts w:cs="Times"/>
          <w:smallCaps/>
        </w:rPr>
        <w:t>U. Chi. L. Rev.</w:t>
      </w:r>
      <w:r w:rsidRPr="00511561">
        <w:rPr>
          <w:rFonts w:cs="Times"/>
        </w:rPr>
        <w:t xml:space="preserve"> 89 (Winter 2003).</w:t>
      </w:r>
    </w:p>
  </w:footnote>
  <w:footnote w:id="9">
    <w:p w14:paraId="577CE2CF" w14:textId="5FB0A97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r w:rsidRPr="00511561">
        <w:rPr>
          <w:rFonts w:cs="Times"/>
        </w:rPr>
        <w:t xml:space="preserve">; </w:t>
      </w:r>
      <w:r w:rsidRPr="00511561">
        <w:rPr>
          <w:rFonts w:cs="Times"/>
          <w:i/>
          <w:iCs/>
        </w:rPr>
        <w:t>see also</w:t>
      </w:r>
      <w:r w:rsidRPr="00511561">
        <w:rPr>
          <w:rFonts w:cs="Times"/>
        </w:rPr>
        <w:t xml:space="preserve"> </w:t>
      </w:r>
      <w:r w:rsidRPr="00511561">
        <w:rPr>
          <w:rFonts w:cs="Times"/>
          <w:i/>
          <w:iCs/>
        </w:rPr>
        <w:t>Enforcement Power</w:t>
      </w:r>
      <w:r w:rsidRPr="00511561">
        <w:rPr>
          <w:rFonts w:cs="Times"/>
        </w:rPr>
        <w:t xml:space="preserve">, </w:t>
      </w:r>
      <w:r w:rsidRPr="00511561">
        <w:rPr>
          <w:rFonts w:cs="Times"/>
          <w:smallCaps/>
        </w:rPr>
        <w:t>Legal Info. Institute</w:t>
      </w:r>
      <w:r w:rsidRPr="00511561">
        <w:rPr>
          <w:rFonts w:cs="Times"/>
        </w:rPr>
        <w:t>, https://www.law.cornell.edu/wex/enforcement_power#:~:text=In%20general%2C%20enforcement%20power%20is,on%20behalf%20of%20the%20public [https://perma.cc/A5RP-VY22].</w:t>
      </w:r>
    </w:p>
  </w:footnote>
  <w:footnote w:id="10">
    <w:p w14:paraId="6D1612F6" w14:textId="5AFC449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Israeli-Palestinian Conflict</w:t>
      </w:r>
      <w:r w:rsidRPr="00511561">
        <w:rPr>
          <w:rFonts w:cs="Times"/>
        </w:rPr>
        <w:t xml:space="preserve">, </w:t>
      </w:r>
      <w:r w:rsidRPr="00511561">
        <w:rPr>
          <w:rFonts w:cs="Times"/>
          <w:smallCaps/>
        </w:rPr>
        <w:t>Ctr. for Preventative Action</w:t>
      </w:r>
      <w:r w:rsidRPr="00511561">
        <w:rPr>
          <w:rFonts w:cs="Times"/>
        </w:rPr>
        <w:t xml:space="preserve"> (updated Jan. 22, 2025), https://www.cfr.org/global-conflict-tracker/conflict/israeli-palestinian-conflict#:~:text=In%201947%2C%20the%20United%20Nations,the%20first%20Arab%2DIsraeli%20War. [https://perma.cc/8NFK-FEGV].</w:t>
      </w:r>
    </w:p>
  </w:footnote>
  <w:footnote w:id="11">
    <w:p w14:paraId="02E25990" w14:textId="0BAFDCC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2">
    <w:p w14:paraId="409295E5" w14:textId="3F419B6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Understanding the International Criminal Court</w:t>
      </w:r>
      <w:r w:rsidRPr="00511561">
        <w:rPr>
          <w:rFonts w:cs="Times"/>
        </w:rPr>
        <w:t xml:space="preserve">, </w:t>
      </w:r>
      <w:r w:rsidRPr="00511561">
        <w:rPr>
          <w:rFonts w:cs="Times"/>
          <w:smallCaps/>
        </w:rPr>
        <w:t>Int</w:t>
      </w:r>
      <w:r>
        <w:rPr>
          <w:rFonts w:cs="Times"/>
          <w:smallCaps/>
        </w:rPr>
        <w:t>’</w:t>
      </w:r>
      <w:r w:rsidRPr="00511561">
        <w:rPr>
          <w:rFonts w:cs="Times"/>
          <w:smallCaps/>
        </w:rPr>
        <w:t>l Crim. Ct.</w:t>
      </w:r>
      <w:r w:rsidRPr="00511561">
        <w:rPr>
          <w:rFonts w:cs="Times"/>
        </w:rPr>
        <w:t xml:space="preserve"> at 6, 9 (2020), </w:t>
      </w:r>
      <w:r w:rsidRPr="008B02D9">
        <w:rPr>
          <w:rFonts w:eastAsiaTheme="majorEastAsia" w:cs="Times"/>
          <w:szCs w:val="18"/>
        </w:rPr>
        <w:t>https://www.icc-cpi.int/sites/default/files/Publications/understanding-the-icc.pdf</w:t>
      </w:r>
      <w:r w:rsidRPr="00511561">
        <w:rPr>
          <w:rFonts w:cs="Times"/>
          <w:color w:val="000000"/>
        </w:rPr>
        <w:t>.</w:t>
      </w:r>
    </w:p>
  </w:footnote>
  <w:footnote w:id="13">
    <w:p w14:paraId="528D4EF4" w14:textId="1C9EE23C"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w:t>
      </w:r>
    </w:p>
  </w:footnote>
  <w:footnote w:id="14">
    <w:p w14:paraId="121AD28A" w14:textId="0F64BC42"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art. 58.</w:t>
      </w:r>
    </w:p>
  </w:footnote>
  <w:footnote w:id="15">
    <w:p w14:paraId="2A0BC131" w14:textId="4A47F89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 Can</w:t>
      </w:r>
      <w:r>
        <w:rPr>
          <w:rFonts w:cs="Times"/>
          <w:i/>
          <w:iCs/>
        </w:rPr>
        <w:t>’</w:t>
      </w:r>
      <w:r w:rsidRPr="00511561">
        <w:rPr>
          <w:rFonts w:cs="Times"/>
          <w:i/>
          <w:iCs/>
        </w:rPr>
        <w:t>t Erase All the Blood from My Mind</w:t>
      </w:r>
      <w:r w:rsidRPr="00511561">
        <w:rPr>
          <w:rFonts w:cs="Times"/>
        </w:rPr>
        <w:t xml:space="preserve">, </w:t>
      </w:r>
      <w:r w:rsidRPr="00511561">
        <w:rPr>
          <w:rFonts w:cs="Times"/>
          <w:smallCaps/>
        </w:rPr>
        <w:t>Hum. Rts. Watch</w:t>
      </w:r>
      <w:r w:rsidRPr="00511561">
        <w:rPr>
          <w:rFonts w:cs="Times"/>
        </w:rPr>
        <w:t xml:space="preserve"> (July 17, 2024), </w:t>
      </w:r>
      <w:r w:rsidRPr="00511561">
        <w:rPr>
          <w:rFonts w:cs="Times"/>
          <w:color w:val="000000"/>
        </w:rPr>
        <w:t xml:space="preserve">https://www.hrw.org/report/2024/07/17/i-cant-erase-all-the-blood-from-my-mind/palestinian-armed-groups-october-7 [https://perma.cc/3W2N-JP65] </w:t>
      </w:r>
      <w:r w:rsidRPr="00511561">
        <w:rPr>
          <w:rFonts w:cs="Times"/>
        </w:rPr>
        <w:t>[hereinafter Human Rights Watch on Hamas].</w:t>
      </w:r>
    </w:p>
  </w:footnote>
  <w:footnote w:id="16">
    <w:p w14:paraId="1FFF2C1A" w14:textId="76789DE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
    <w:p w14:paraId="1B4B96DF" w14:textId="347BAB9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id.</w:t>
      </w:r>
    </w:p>
  </w:footnote>
  <w:footnote w:id="18">
    <w:p w14:paraId="3DE7B00B" w14:textId="71ECC95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9">
    <w:p w14:paraId="7C597753" w14:textId="1894339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0">
    <w:p w14:paraId="0F43A97C" w14:textId="2A647DE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1">
    <w:p w14:paraId="31C9B71D" w14:textId="5F2862C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2">
    <w:p w14:paraId="2282AECD" w14:textId="6EAE972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Hopeless, Starving, and Besieged</w:t>
      </w:r>
      <w:r w:rsidRPr="00511561">
        <w:rPr>
          <w:rFonts w:cs="Times"/>
        </w:rPr>
        <w:t xml:space="preserve">, </w:t>
      </w:r>
      <w:r w:rsidRPr="00511561">
        <w:rPr>
          <w:rFonts w:cs="Times"/>
          <w:smallCaps/>
        </w:rPr>
        <w:t>Hum. Rts. Watch</w:t>
      </w:r>
      <w:r w:rsidRPr="00511561">
        <w:rPr>
          <w:rFonts w:cs="Times"/>
        </w:rPr>
        <w:t xml:space="preserve"> (Nov. 14, 2024), </w:t>
      </w:r>
      <w:r w:rsidRPr="00511561">
        <w:rPr>
          <w:rFonts w:cs="Times"/>
          <w:color w:val="000000"/>
        </w:rPr>
        <w:t>https://www.hrw.org/report/2024/11/14/hopeless-starving-and-besieged/israels-forced-displacement-palestinians-gaza [https://perma.cc/2GCD-GCX9] [hereinafter Human Rights Watch on Israel].</w:t>
      </w:r>
    </w:p>
  </w:footnote>
  <w:footnote w:id="23">
    <w:p w14:paraId="0A78AB18" w14:textId="1270476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4">
    <w:p w14:paraId="5248692C" w14:textId="6B4ABA0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5">
    <w:p w14:paraId="3EF79254" w14:textId="3066810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6">
    <w:p w14:paraId="3AB57616" w14:textId="775E758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27">
    <w:p w14:paraId="5E7FEE1A" w14:textId="1C2C598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generally</w:t>
      </w:r>
      <w:r w:rsidRPr="00511561">
        <w:rPr>
          <w:rFonts w:cs="Times"/>
        </w:rPr>
        <w:t xml:space="preserve"> Human Rights Watch on Hamas, </w:t>
      </w:r>
      <w:r w:rsidRPr="00511561">
        <w:rPr>
          <w:rFonts w:cs="Times"/>
          <w:i/>
          <w:iCs/>
        </w:rPr>
        <w:t>supra</w:t>
      </w:r>
      <w:r w:rsidRPr="00511561">
        <w:rPr>
          <w:rFonts w:cs="Times"/>
        </w:rPr>
        <w:t xml:space="preserve"> note 15 (reporting on the alleged war crimes and crimes against humanity of Hamas and other armed Palestinian groups); </w:t>
      </w:r>
      <w:r w:rsidRPr="00511561">
        <w:rPr>
          <w:rFonts w:cs="Times"/>
          <w:i/>
          <w:iCs/>
        </w:rPr>
        <w:t xml:space="preserve">see also </w:t>
      </w:r>
      <w:r w:rsidRPr="00511561">
        <w:rPr>
          <w:rFonts w:cs="Times"/>
        </w:rPr>
        <w:t xml:space="preserve">Human Rights Watch on Isreal, </w:t>
      </w:r>
      <w:r w:rsidRPr="00511561">
        <w:rPr>
          <w:rFonts w:cs="Times"/>
          <w:i/>
          <w:iCs/>
        </w:rPr>
        <w:t>supra</w:t>
      </w:r>
      <w:r w:rsidRPr="00511561">
        <w:rPr>
          <w:rFonts w:cs="Times"/>
        </w:rPr>
        <w:t xml:space="preserve"> note 22 (reporting on the alleged war crimes and crimes against humanity of Israel).</w:t>
      </w:r>
    </w:p>
  </w:footnote>
  <w:footnote w:id="28">
    <w:p w14:paraId="6CDE398E" w14:textId="0AB5E904" w:rsidR="00511561" w:rsidRPr="00511561" w:rsidRDefault="00511561" w:rsidP="00511561">
      <w:pPr>
        <w:pStyle w:val="FootNote"/>
        <w:rPr>
          <w:rFonts w:cs="Times"/>
          <w:highlight w:val="yellow"/>
        </w:rPr>
      </w:pPr>
      <w:r w:rsidRPr="00511561">
        <w:rPr>
          <w:rFonts w:cs="Times"/>
          <w:color w:val="000000"/>
        </w:rPr>
        <w:tab/>
      </w:r>
      <w:r w:rsidRPr="00511561">
        <w:rPr>
          <w:rStyle w:val="NoteRefInNote"/>
          <w:rFonts w:eastAsiaTheme="majorEastAsia"/>
        </w:rPr>
        <w:footnoteRef/>
      </w:r>
      <w:r w:rsidRPr="00511561">
        <w:rPr>
          <w:rFonts w:cs="Times"/>
          <w:color w:val="000000"/>
        </w:rPr>
        <w:tab/>
        <w:t>Human Rights Watch on Israel</w:t>
      </w:r>
      <w:r w:rsidRPr="00511561">
        <w:rPr>
          <w:rFonts w:cs="Times"/>
        </w:rPr>
        <w:t xml:space="preserve">, </w:t>
      </w:r>
      <w:r w:rsidRPr="00511561">
        <w:rPr>
          <w:rFonts w:cs="Times"/>
          <w:i/>
          <w:iCs/>
        </w:rPr>
        <w:t>supra</w:t>
      </w:r>
      <w:r w:rsidRPr="00511561">
        <w:rPr>
          <w:rFonts w:cs="Times"/>
        </w:rPr>
        <w:t xml:space="preserve"> note 22.</w:t>
      </w:r>
    </w:p>
  </w:footnote>
  <w:footnote w:id="29">
    <w:p w14:paraId="2452DBD2" w14:textId="77B56BA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30">
    <w:p w14:paraId="19C7DC09" w14:textId="50F3134B" w:rsidR="00511561" w:rsidRPr="00511561" w:rsidRDefault="00511561" w:rsidP="00511561">
      <w:pPr>
        <w:pStyle w:val="FootNote"/>
        <w:rPr>
          <w:rFonts w:cs="Times"/>
          <w:highlight w:val="yellow"/>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i/>
          <w:iCs/>
          <w:color w:val="000000"/>
        </w:rPr>
        <w:t>id.</w:t>
      </w:r>
      <w:r w:rsidRPr="00511561">
        <w:rPr>
          <w:rFonts w:cs="Times"/>
        </w:rPr>
        <w:t xml:space="preserve"> (explaining the principles of international humanitarian law and attacks that fail to recognize the distinction between combatants and civilians).</w:t>
      </w:r>
    </w:p>
  </w:footnote>
  <w:footnote w:id="31">
    <w:p w14:paraId="23510975" w14:textId="3AF5574E"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Human Rights Watch on Hamas, </w:t>
      </w:r>
      <w:r w:rsidRPr="00511561">
        <w:rPr>
          <w:rFonts w:cs="Times"/>
          <w:i/>
          <w:iCs/>
        </w:rPr>
        <w:t>supra</w:t>
      </w:r>
      <w:r w:rsidRPr="00511561">
        <w:rPr>
          <w:rFonts w:cs="Times"/>
        </w:rPr>
        <w:t xml:space="preserve"> note 15.</w:t>
      </w:r>
    </w:p>
  </w:footnote>
  <w:footnote w:id="32">
    <w:p w14:paraId="76E48C37" w14:textId="6D27D79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33">
    <w:p w14:paraId="38E41B75" w14:textId="31C4DC3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34">
    <w:p w14:paraId="21FE2C8D" w14:textId="328439E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35">
    <w:p w14:paraId="2EFFD6EB" w14:textId="7C4A86C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color w:val="000000"/>
        </w:rPr>
        <w:t>Human Rights Watch on Israel</w:t>
      </w:r>
      <w:r w:rsidRPr="00511561">
        <w:rPr>
          <w:rFonts w:cs="Times"/>
        </w:rPr>
        <w:t xml:space="preserve">, </w:t>
      </w:r>
      <w:r w:rsidRPr="00511561">
        <w:rPr>
          <w:rFonts w:cs="Times"/>
          <w:i/>
          <w:iCs/>
        </w:rPr>
        <w:t>supra</w:t>
      </w:r>
      <w:r w:rsidRPr="00511561">
        <w:rPr>
          <w:rFonts w:cs="Times"/>
        </w:rPr>
        <w:t xml:space="preserve"> note 22.</w:t>
      </w:r>
    </w:p>
  </w:footnote>
  <w:footnote w:id="36">
    <w:p w14:paraId="27E4C9F8" w14:textId="49DAEF95" w:rsidR="00511561" w:rsidRPr="00511561" w:rsidRDefault="00511561" w:rsidP="00511561">
      <w:pPr>
        <w:pStyle w:val="FootNote"/>
        <w:rPr>
          <w:rFonts w:cs="Times"/>
          <w:i/>
          <w:iC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37">
    <w:p w14:paraId="0F24E558" w14:textId="1E3CB012" w:rsidR="00511561" w:rsidRPr="00511561" w:rsidRDefault="00511561" w:rsidP="00511561">
      <w:pPr>
        <w:pStyle w:val="FootNote"/>
        <w:rPr>
          <w:rFonts w:cs="Times"/>
          <w:i/>
          <w:iC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38">
    <w:p w14:paraId="157F27EE" w14:textId="194AB07C" w:rsidR="00511561" w:rsidRPr="00511561" w:rsidRDefault="00511561" w:rsidP="00511561">
      <w:pPr>
        <w:pStyle w:val="FootNote"/>
        <w:rPr>
          <w:rFonts w:cs="Times"/>
          <w:i/>
          <w:iC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39">
    <w:p w14:paraId="4A2B8976" w14:textId="4AA64EAE"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r w:rsidRPr="00511561">
        <w:rPr>
          <w:rFonts w:cs="Times"/>
          <w:i/>
          <w:iCs/>
        </w:rPr>
        <w:t xml:space="preserve"> </w:t>
      </w:r>
      <w:r w:rsidRPr="00511561">
        <w:rPr>
          <w:rFonts w:cs="Times"/>
        </w:rPr>
        <w:t>(</w:t>
      </w:r>
      <w:r>
        <w:rPr>
          <w:rFonts w:cs="Times"/>
        </w:rPr>
        <w:t>“</w:t>
      </w:r>
      <w:r w:rsidRPr="00511561">
        <w:rPr>
          <w:rFonts w:cs="Times"/>
        </w:rPr>
        <w:t>[Israel</w:t>
      </w:r>
      <w:r>
        <w:rPr>
          <w:rFonts w:cs="Times"/>
        </w:rPr>
        <w:t>’</w:t>
      </w:r>
      <w:r w:rsidRPr="00511561">
        <w:rPr>
          <w:rFonts w:cs="Times"/>
        </w:rPr>
        <w:t>s] lack of adherence to the strict protections required to make an evacuation lawful shows that its orders for people to move were a pretext for forced displacement.</w:t>
      </w:r>
      <w:r>
        <w:rPr>
          <w:rFonts w:cs="Times"/>
        </w:rPr>
        <w:t>”</w:t>
      </w:r>
      <w:r w:rsidRPr="00511561">
        <w:rPr>
          <w:rFonts w:cs="Times"/>
        </w:rPr>
        <w:t>).</w:t>
      </w:r>
    </w:p>
  </w:footnote>
  <w:footnote w:id="40">
    <w:p w14:paraId="03454FF5" w14:textId="2623FFBB"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1">
    <w:p w14:paraId="1519268D" w14:textId="4E2B540D"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2">
    <w:p w14:paraId="00E899B7" w14:textId="2E658CDC"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3">
    <w:p w14:paraId="765DA538" w14:textId="20EEEEE5"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4">
    <w:p w14:paraId="019847D7" w14:textId="4BAB6691"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5">
    <w:p w14:paraId="4A08B0BD" w14:textId="24E006C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i/>
          <w:iCs/>
          <w:color w:val="000000"/>
        </w:rPr>
        <w:t>id.</w:t>
      </w:r>
    </w:p>
  </w:footnote>
  <w:footnote w:id="46">
    <w:p w14:paraId="4A710DE4" w14:textId="0F872A2C" w:rsidR="00511561" w:rsidRPr="00511561" w:rsidRDefault="00511561" w:rsidP="00511561">
      <w:pPr>
        <w:pStyle w:val="FootNote"/>
        <w:rPr>
          <w:rFonts w:cs="Times"/>
        </w:rPr>
      </w:pPr>
      <w:r w:rsidRPr="00511561">
        <w:rPr>
          <w:rFonts w:cs="Times"/>
          <w:i/>
          <w:iCs/>
          <w:color w:val="000000"/>
        </w:rPr>
        <w:tab/>
      </w:r>
      <w:r w:rsidRPr="00511561">
        <w:rPr>
          <w:rStyle w:val="NoteRefInNote"/>
          <w:rFonts w:eastAsiaTheme="majorEastAsia"/>
        </w:rPr>
        <w:footnoteRef/>
      </w:r>
      <w:r w:rsidRPr="00511561">
        <w:rPr>
          <w:rFonts w:cs="Times"/>
          <w:i/>
          <w:iCs/>
          <w:color w:val="000000"/>
        </w:rPr>
        <w:tab/>
        <w:t>Id.</w:t>
      </w:r>
    </w:p>
  </w:footnote>
  <w:footnote w:id="47">
    <w:p w14:paraId="6E2EB0DA" w14:textId="56AC6E5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Press Release, International Criminal Court, Situation in the State of Palestine: ICC Pre-Trial Chamber I Rejects the State of Israel</w:t>
      </w:r>
      <w:r>
        <w:rPr>
          <w:rFonts w:cs="Times"/>
        </w:rPr>
        <w:t>’</w:t>
      </w:r>
      <w:r w:rsidRPr="00511561">
        <w:rPr>
          <w:rFonts w:cs="Times"/>
        </w:rPr>
        <w:t xml:space="preserve"> Challenges to Jurisdiction and Issues Warrants of Arrest for Benjamin Netanyahu and Yoav Gallant (Nov. 21, 2024) (hereinafter </w:t>
      </w:r>
      <w:r>
        <w:rPr>
          <w:rFonts w:cs="Times"/>
        </w:rPr>
        <w:t>“</w:t>
      </w:r>
      <w:r w:rsidRPr="00511561">
        <w:rPr>
          <w:rFonts w:cs="Times"/>
        </w:rPr>
        <w:t>Israeli Warrants</w:t>
      </w:r>
      <w:r>
        <w:rPr>
          <w:rFonts w:cs="Times"/>
        </w:rPr>
        <w:t>”</w:t>
      </w:r>
      <w:r w:rsidRPr="00511561">
        <w:rPr>
          <w:rFonts w:cs="Times"/>
        </w:rPr>
        <w:t xml:space="preserve">); </w:t>
      </w:r>
      <w:r w:rsidRPr="00511561">
        <w:rPr>
          <w:rFonts w:cs="Times"/>
          <w:i/>
          <w:iCs/>
        </w:rPr>
        <w:t xml:space="preserve">see also </w:t>
      </w:r>
      <w:r w:rsidRPr="00511561">
        <w:rPr>
          <w:rFonts w:cs="Times"/>
        </w:rPr>
        <w:t xml:space="preserve">Press Release, International Criminal Court, Situation in the State of Palestine: ICC Pre-Trial Chamber I Issues Warrant of Arrest for Mohammed Diab Ibrahim Al-Masri (Deif) (Nov. 21, 2024) (hereinafter </w:t>
      </w:r>
      <w:r>
        <w:rPr>
          <w:rFonts w:cs="Times"/>
        </w:rPr>
        <w:t>“</w:t>
      </w:r>
      <w:r w:rsidRPr="00511561">
        <w:rPr>
          <w:rFonts w:cs="Times"/>
        </w:rPr>
        <w:t>Palestinian Warrants</w:t>
      </w:r>
      <w:r>
        <w:rPr>
          <w:rFonts w:cs="Times"/>
        </w:rPr>
        <w:t>”</w:t>
      </w:r>
      <w:r w:rsidRPr="00511561">
        <w:rPr>
          <w:rFonts w:cs="Times"/>
        </w:rPr>
        <w:t>).</w:t>
      </w:r>
    </w:p>
  </w:footnote>
  <w:footnote w:id="48">
    <w:p w14:paraId="104390E9" w14:textId="6B66459D"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Palestinian Warrants, </w:t>
      </w:r>
      <w:r w:rsidRPr="00511561">
        <w:rPr>
          <w:rFonts w:cs="Times"/>
          <w:i/>
          <w:iCs/>
        </w:rPr>
        <w:t>supra</w:t>
      </w:r>
      <w:r w:rsidRPr="00511561">
        <w:rPr>
          <w:rFonts w:cs="Times"/>
        </w:rPr>
        <w:t xml:space="preserve"> note 47.</w:t>
      </w:r>
    </w:p>
  </w:footnote>
  <w:footnote w:id="49">
    <w:p w14:paraId="0B1AFBE9" w14:textId="2EE7D8D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50">
    <w:p w14:paraId="253ED524" w14:textId="5662435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51">
    <w:p w14:paraId="76838218" w14:textId="4A02C3E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52">
    <w:p w14:paraId="2E22BF84" w14:textId="3274FB1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53">
    <w:p w14:paraId="0619FAE8" w14:textId="21609A6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54">
    <w:p w14:paraId="2DBB427E" w14:textId="316B6ED7"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Prosecutor v. Mongolia, ICC-01/22, Pre-Trial Chamber II, ¶ 1 (Oct. 24, 2024) </w:t>
      </w:r>
      <w:r w:rsidRPr="00511561">
        <w:rPr>
          <w:rStyle w:val="normaltextrun"/>
          <w:rFonts w:cs="Times"/>
          <w:szCs w:val="18"/>
          <w:bdr w:val="none" w:sz="0" w:space="0" w:color="auto" w:frame="1"/>
        </w:rPr>
        <w:t>https://www.icc-cpi.int/sites/default/files/CourtRecords/0902ebd1809d1971.pdf.</w:t>
      </w:r>
    </w:p>
  </w:footnote>
  <w:footnote w:id="55">
    <w:p w14:paraId="03F295B2" w14:textId="5B0FFBC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4 (Oct. 24, 2024).</w:t>
      </w:r>
    </w:p>
  </w:footnote>
  <w:footnote w:id="56">
    <w:p w14:paraId="0C6590CE" w14:textId="0288164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7.</w:t>
      </w:r>
    </w:p>
  </w:footnote>
  <w:footnote w:id="57">
    <w:p w14:paraId="2F70D8B9" w14:textId="6579FCD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8.</w:t>
      </w:r>
    </w:p>
  </w:footnote>
  <w:footnote w:id="58">
    <w:p w14:paraId="1736F94A" w14:textId="0263B02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9.</w:t>
      </w:r>
    </w:p>
  </w:footnote>
  <w:footnote w:id="59">
    <w:p w14:paraId="33065BAF" w14:textId="13D7795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18.</w:t>
      </w:r>
    </w:p>
  </w:footnote>
  <w:footnote w:id="60">
    <w:p w14:paraId="15F80D36" w14:textId="141FDBB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r w:rsidRPr="00511561">
        <w:rPr>
          <w:rFonts w:cs="Times"/>
        </w:rPr>
        <w:t xml:space="preserve"> at ¶ 19.</w:t>
      </w:r>
    </w:p>
  </w:footnote>
  <w:footnote w:id="61">
    <w:p w14:paraId="681F92C7" w14:textId="20116CB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28.</w:t>
      </w:r>
    </w:p>
  </w:footnote>
  <w:footnote w:id="62">
    <w:p w14:paraId="1E4EC50C" w14:textId="12DB863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r w:rsidRPr="00511561">
        <w:rPr>
          <w:rFonts w:cs="Times"/>
        </w:rPr>
        <w:t xml:space="preserve"> at ¶ ¶ 39–41.</w:t>
      </w:r>
    </w:p>
  </w:footnote>
  <w:footnote w:id="63">
    <w:p w14:paraId="4EEA0E49" w14:textId="5856CF21"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Darlene Superville &amp; Joshua Goodman, </w:t>
      </w:r>
      <w:r w:rsidRPr="00511561">
        <w:rPr>
          <w:rFonts w:cs="Times"/>
          <w:i/>
          <w:iCs/>
        </w:rPr>
        <w:t>Trump Orders Sanctions on International Criminal Court for Investigating Israel</w:t>
      </w:r>
      <w:r w:rsidRPr="00511561">
        <w:rPr>
          <w:rFonts w:cs="Times"/>
        </w:rPr>
        <w:t xml:space="preserve">, </w:t>
      </w:r>
      <w:r w:rsidRPr="00511561">
        <w:rPr>
          <w:rFonts w:cs="Times"/>
          <w:smallCaps/>
        </w:rPr>
        <w:t>PBS News</w:t>
      </w:r>
      <w:r w:rsidRPr="00511561">
        <w:rPr>
          <w:rFonts w:cs="Times"/>
        </w:rPr>
        <w:t xml:space="preserve"> (Feb. 7, 2024, 11:02 AM), https://www.pbs.org/newshour/world/trump-orders-sanctions-on-international-criminal-court-for-investigating-israel [https://perma.cc/279V-JSEB].</w:t>
      </w:r>
    </w:p>
  </w:footnote>
  <w:footnote w:id="64">
    <w:p w14:paraId="0432F7D1" w14:textId="779BA9E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65">
    <w:p w14:paraId="3259B29E" w14:textId="503FE12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66">
    <w:p w14:paraId="362618E3" w14:textId="25CF50B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67">
    <w:p w14:paraId="6E958CDC" w14:textId="50EE720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w:t>
      </w:r>
    </w:p>
  </w:footnote>
  <w:footnote w:id="68">
    <w:p w14:paraId="7A49D04D" w14:textId="0789E9D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69">
    <w:p w14:paraId="7CC907E4" w14:textId="533D236D"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at art. 5.</w:t>
      </w:r>
    </w:p>
  </w:footnote>
  <w:footnote w:id="70">
    <w:p w14:paraId="4740A1A6" w14:textId="6771A6D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art. 7.</w:t>
      </w:r>
    </w:p>
  </w:footnote>
  <w:footnote w:id="71">
    <w:p w14:paraId="158645D5" w14:textId="4855402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72">
    <w:p w14:paraId="5B31BEC4" w14:textId="53818BA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art. 8.</w:t>
      </w:r>
    </w:p>
  </w:footnote>
  <w:footnote w:id="73">
    <w:p w14:paraId="1E703C7F" w14:textId="1035DA9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r w:rsidRPr="00511561">
        <w:rPr>
          <w:rFonts w:cs="Times"/>
        </w:rPr>
        <w:t xml:space="preserve"> at art. 8.</w:t>
      </w:r>
    </w:p>
  </w:footnote>
  <w:footnote w:id="74">
    <w:p w14:paraId="52CD9F10" w14:textId="609FAB5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art. 8 (</w:t>
      </w:r>
      <w:r>
        <w:rPr>
          <w:rFonts w:cs="Times"/>
        </w:rPr>
        <w:t>“</w:t>
      </w:r>
      <w:r w:rsidRPr="00511561">
        <w:rPr>
          <w:rFonts w:cs="Times"/>
        </w:rPr>
        <w:t>namely, any of the following acts committed against persons taking no active part in the hostilities, including members of armed forces who have laid down their arms</w:t>
      </w:r>
      <w:r>
        <w:rPr>
          <w:rFonts w:cs="Times"/>
        </w:rPr>
        <w:t xml:space="preserve"> . . . </w:t>
      </w:r>
      <w:r w:rsidRPr="00511561">
        <w:rPr>
          <w:rFonts w:cs="Times"/>
        </w:rPr>
        <w:t>: [v]iolence to life and person, in particular murder of all kinds, mutilation, cruel treatment and torture; [c]omitting outrages upon personal dignity, in particular humiliating and degrading treatment; [t]aking of hostages; [t]he passing of sentences and the carrying out of executions without previous judgement pronounced by a regularly constituted court, affording all judicial guarantees which are generally recognized as indispensable.</w:t>
      </w:r>
      <w:r>
        <w:rPr>
          <w:rFonts w:cs="Times"/>
        </w:rPr>
        <w:t>”</w:t>
      </w:r>
      <w:r w:rsidRPr="00511561">
        <w:rPr>
          <w:rFonts w:cs="Times"/>
        </w:rPr>
        <w:t>).</w:t>
      </w:r>
    </w:p>
  </w:footnote>
  <w:footnote w:id="75">
    <w:p w14:paraId="355C1B3B" w14:textId="0A4F02E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art. 13.</w:t>
      </w:r>
    </w:p>
  </w:footnote>
  <w:footnote w:id="76">
    <w:p w14:paraId="298D67EC" w14:textId="2D1C575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 xml:space="preserve">Understanding the International Criminal Court, </w:t>
      </w:r>
      <w:r w:rsidRPr="00511561">
        <w:rPr>
          <w:rFonts w:cs="Times"/>
          <w:smallCaps/>
        </w:rPr>
        <w:t>Int</w:t>
      </w:r>
      <w:r>
        <w:rPr>
          <w:rFonts w:cs="Times"/>
          <w:smallCaps/>
        </w:rPr>
        <w:t>’</w:t>
      </w:r>
      <w:r w:rsidRPr="00511561">
        <w:rPr>
          <w:rFonts w:cs="Times"/>
          <w:smallCaps/>
        </w:rPr>
        <w:t>l Crim. Ct.</w:t>
      </w:r>
      <w:r w:rsidRPr="00511561">
        <w:rPr>
          <w:rFonts w:cs="Times"/>
        </w:rPr>
        <w:t xml:space="preserve"> 35 (2020).</w:t>
      </w:r>
    </w:p>
  </w:footnote>
  <w:footnote w:id="77">
    <w:p w14:paraId="30D89922" w14:textId="179D7F7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w:t>
      </w:r>
      <w:r w:rsidRPr="00511561">
        <w:rPr>
          <w:rFonts w:cs="Times"/>
          <w:i/>
          <w:iCs/>
        </w:rPr>
        <w:t xml:space="preserve">see </w:t>
      </w:r>
      <w:r w:rsidRPr="00511561">
        <w:rPr>
          <w:rFonts w:cs="Times"/>
        </w:rPr>
        <w:t xml:space="preserve">The Statute, </w:t>
      </w:r>
      <w:r w:rsidRPr="00511561">
        <w:rPr>
          <w:rFonts w:cs="Times"/>
          <w:i/>
          <w:iCs/>
        </w:rPr>
        <w:t xml:space="preserve">supra </w:t>
      </w:r>
      <w:r w:rsidRPr="00511561">
        <w:rPr>
          <w:rFonts w:cs="Times"/>
        </w:rPr>
        <w:t>note 2, at art. 58.</w:t>
      </w:r>
    </w:p>
  </w:footnote>
  <w:footnote w:id="78">
    <w:p w14:paraId="00778360" w14:textId="0246F99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smallCaps/>
        </w:rPr>
        <w:t>Int</w:t>
      </w:r>
      <w:r>
        <w:rPr>
          <w:rFonts w:cs="Times"/>
          <w:smallCaps/>
        </w:rPr>
        <w:t>’</w:t>
      </w:r>
      <w:r w:rsidRPr="00511561">
        <w:rPr>
          <w:rFonts w:cs="Times"/>
          <w:smallCaps/>
        </w:rPr>
        <w:t>l Crim. Ct.</w:t>
      </w:r>
      <w:r w:rsidRPr="00511561">
        <w:rPr>
          <w:rFonts w:cs="Times"/>
        </w:rPr>
        <w:t xml:space="preserve">, </w:t>
      </w:r>
      <w:r w:rsidRPr="00511561">
        <w:rPr>
          <w:rFonts w:cs="Times"/>
          <w:i/>
          <w:iCs/>
        </w:rPr>
        <w:t>supra</w:t>
      </w:r>
      <w:r w:rsidRPr="00511561">
        <w:rPr>
          <w:rFonts w:cs="Times"/>
        </w:rPr>
        <w:t xml:space="preserve"> note 76, at art. 36.</w:t>
      </w:r>
    </w:p>
  </w:footnote>
  <w:footnote w:id="79">
    <w:p w14:paraId="03F79B12" w14:textId="325EE9B6"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ICC may also receive ad hoc assistance from countries that are not parties to the Statute. </w:t>
      </w:r>
      <w:r w:rsidRPr="00511561">
        <w:rPr>
          <w:rFonts w:cs="Times"/>
          <w:i/>
          <w:iCs/>
        </w:rPr>
        <w:t xml:space="preserve">See </w:t>
      </w:r>
      <w:r w:rsidRPr="00511561">
        <w:rPr>
          <w:rFonts w:cs="Times"/>
          <w:smallCaps/>
        </w:rPr>
        <w:t>Int</w:t>
      </w:r>
      <w:r>
        <w:rPr>
          <w:rFonts w:cs="Times"/>
          <w:smallCaps/>
        </w:rPr>
        <w:t>’</w:t>
      </w:r>
      <w:r w:rsidRPr="00511561">
        <w:rPr>
          <w:rFonts w:cs="Times"/>
          <w:smallCaps/>
        </w:rPr>
        <w:t>l Criminal Court</w:t>
      </w:r>
      <w:r w:rsidRPr="00511561">
        <w:rPr>
          <w:rFonts w:cs="Times"/>
        </w:rPr>
        <w:t xml:space="preserve">, </w:t>
      </w:r>
      <w:r w:rsidRPr="00511561">
        <w:rPr>
          <w:rFonts w:cs="Times"/>
          <w:i/>
          <w:iCs/>
        </w:rPr>
        <w:t>supra</w:t>
      </w:r>
      <w:r w:rsidRPr="00511561">
        <w:rPr>
          <w:rFonts w:cs="Times"/>
        </w:rPr>
        <w:t xml:space="preserve"> note 76, at art. 36.</w:t>
      </w:r>
    </w:p>
  </w:footnote>
  <w:footnote w:id="80">
    <w:p w14:paraId="4D04C6EC" w14:textId="5E98EE5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How the Court Works</w:t>
      </w:r>
      <w:r w:rsidRPr="00511561">
        <w:rPr>
          <w:rFonts w:cs="Times"/>
        </w:rPr>
        <w:t xml:space="preserve">, </w:t>
      </w:r>
      <w:r w:rsidRPr="00511561">
        <w:rPr>
          <w:rFonts w:cs="Times"/>
          <w:smallCaps/>
        </w:rPr>
        <w:t>Int</w:t>
      </w:r>
      <w:r>
        <w:rPr>
          <w:rFonts w:cs="Times"/>
          <w:smallCaps/>
        </w:rPr>
        <w:t>’</w:t>
      </w:r>
      <w:r w:rsidRPr="00511561">
        <w:rPr>
          <w:rFonts w:cs="Times"/>
          <w:smallCaps/>
        </w:rPr>
        <w:t>l Crim. Ct.</w:t>
      </w:r>
      <w:r w:rsidRPr="00511561">
        <w:rPr>
          <w:rFonts w:cs="Times"/>
        </w:rPr>
        <w:t>, https://www.icc-cpi.int/about/how-the-court-works [https://perma.cc/W2WR-KNZ6].</w:t>
      </w:r>
    </w:p>
  </w:footnote>
  <w:footnote w:id="81">
    <w:p w14:paraId="4B5038B6" w14:textId="06A4EE45" w:rsidR="00511561" w:rsidRPr="00511561" w:rsidRDefault="00511561" w:rsidP="00511561">
      <w:pPr>
        <w:pStyle w:val="FootNote"/>
        <w:rPr>
          <w:rFonts w:cs="Times"/>
        </w:rPr>
      </w:pPr>
      <w:r w:rsidRPr="00511561">
        <w:rPr>
          <w:rFonts w:cs="Times"/>
          <w:smallCaps/>
        </w:rPr>
        <w:tab/>
      </w:r>
      <w:r w:rsidRPr="00511561">
        <w:rPr>
          <w:rStyle w:val="NoteRefInNote"/>
          <w:rFonts w:eastAsiaTheme="majorEastAsia"/>
        </w:rPr>
        <w:footnoteRef/>
      </w:r>
      <w:r w:rsidRPr="00511561">
        <w:rPr>
          <w:rFonts w:cs="Times"/>
          <w:smallCaps/>
        </w:rPr>
        <w:tab/>
        <w:t>Int</w:t>
      </w:r>
      <w:r>
        <w:rPr>
          <w:rFonts w:cs="Times"/>
          <w:smallCaps/>
        </w:rPr>
        <w:t>’</w:t>
      </w:r>
      <w:r w:rsidRPr="00511561">
        <w:rPr>
          <w:rFonts w:cs="Times"/>
          <w:smallCaps/>
        </w:rPr>
        <w:t>l Crim. Ct.</w:t>
      </w:r>
      <w:r w:rsidRPr="00511561">
        <w:rPr>
          <w:rFonts w:cs="Times"/>
        </w:rPr>
        <w:t xml:space="preserve">, </w:t>
      </w:r>
      <w:r w:rsidRPr="00511561">
        <w:rPr>
          <w:rFonts w:cs="Times"/>
          <w:i/>
          <w:iCs/>
        </w:rPr>
        <w:t>supra</w:t>
      </w:r>
      <w:r w:rsidRPr="00511561">
        <w:rPr>
          <w:rFonts w:cs="Times"/>
        </w:rPr>
        <w:t xml:space="preserve"> note 76, at art. 36.</w:t>
      </w:r>
    </w:p>
  </w:footnote>
  <w:footnote w:id="82">
    <w:p w14:paraId="5F9C8B10" w14:textId="6A29223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w:t>
      </w:r>
      <w:r w:rsidRPr="00511561">
        <w:rPr>
          <w:rFonts w:cs="Times"/>
          <w:i/>
          <w:iCs/>
        </w:rPr>
        <w:t xml:space="preserve">See generally </w:t>
      </w:r>
      <w:r w:rsidRPr="00511561">
        <w:rPr>
          <w:rFonts w:cs="Times"/>
        </w:rPr>
        <w:t xml:space="preserve">Prosecutor v. Mongolia, </w:t>
      </w:r>
      <w:r w:rsidRPr="00511561">
        <w:rPr>
          <w:rFonts w:cs="Times"/>
          <w:i/>
          <w:iCs/>
        </w:rPr>
        <w:t>supra</w:t>
      </w:r>
      <w:r w:rsidRPr="00511561">
        <w:rPr>
          <w:rFonts w:cs="Times"/>
        </w:rPr>
        <w:t xml:space="preserve"> note 6, at 15 (finding </w:t>
      </w:r>
      <w:r>
        <w:rPr>
          <w:rFonts w:cs="Times"/>
        </w:rPr>
        <w:t>“</w:t>
      </w:r>
      <w:r w:rsidRPr="00511561">
        <w:rPr>
          <w:rFonts w:cs="Times"/>
        </w:rPr>
        <w:t>it appropriate to refer the matter of Mongolia</w:t>
      </w:r>
      <w:r>
        <w:rPr>
          <w:rFonts w:cs="Times"/>
        </w:rPr>
        <w:t>’</w:t>
      </w:r>
      <w:r w:rsidRPr="00511561">
        <w:rPr>
          <w:rFonts w:cs="Times"/>
        </w:rPr>
        <w:t>s non-compliance [with Putin</w:t>
      </w:r>
      <w:r>
        <w:rPr>
          <w:rFonts w:cs="Times"/>
        </w:rPr>
        <w:t>’</w:t>
      </w:r>
      <w:r w:rsidRPr="00511561">
        <w:rPr>
          <w:rFonts w:cs="Times"/>
        </w:rPr>
        <w:t>s arrest warrant] to the Assembly of States Parties.</w:t>
      </w:r>
      <w:r>
        <w:rPr>
          <w:rFonts w:cs="Times"/>
        </w:rPr>
        <w:t>”</w:t>
      </w:r>
      <w:r w:rsidRPr="00511561">
        <w:rPr>
          <w:rFonts w:cs="Times"/>
        </w:rPr>
        <w:t>).</w:t>
      </w:r>
    </w:p>
  </w:footnote>
  <w:footnote w:id="83">
    <w:p w14:paraId="138FC2B3" w14:textId="414B069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Markus Benzing, </w:t>
      </w:r>
      <w:r w:rsidRPr="00511561">
        <w:rPr>
          <w:rFonts w:cs="Times"/>
          <w:i/>
          <w:iCs/>
        </w:rPr>
        <w:t>The Complementarity Regime of the International Criminal Court: International Criminal Justice between State Sovereignty and the Fight against Impunity</w:t>
      </w:r>
      <w:r w:rsidRPr="00511561">
        <w:rPr>
          <w:rFonts w:cs="Times"/>
        </w:rPr>
        <w:t xml:space="preserve">, 7 </w:t>
      </w:r>
      <w:r w:rsidRPr="00511561">
        <w:rPr>
          <w:rFonts w:cs="Times"/>
          <w:smallCaps/>
        </w:rPr>
        <w:t xml:space="preserve">Max Planck UNYB </w:t>
      </w:r>
      <w:r w:rsidRPr="00511561">
        <w:rPr>
          <w:rFonts w:cs="Times"/>
        </w:rPr>
        <w:t>(2003) (outlining the creation, nature, and justification of the ICC</w:t>
      </w:r>
      <w:r>
        <w:rPr>
          <w:rFonts w:cs="Times"/>
        </w:rPr>
        <w:t>’</w:t>
      </w:r>
      <w:r w:rsidRPr="00511561">
        <w:rPr>
          <w:rFonts w:cs="Times"/>
        </w:rPr>
        <w:t>s complementarity regime).</w:t>
      </w:r>
    </w:p>
  </w:footnote>
  <w:footnote w:id="84">
    <w:p w14:paraId="0D2D175C" w14:textId="464D3F5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595.</w:t>
      </w:r>
    </w:p>
  </w:footnote>
  <w:footnote w:id="85">
    <w:p w14:paraId="15E5DF18" w14:textId="2B746A0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86">
    <w:p w14:paraId="2EAC57D0" w14:textId="4A11A95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596.</w:t>
      </w:r>
    </w:p>
  </w:footnote>
  <w:footnote w:id="87">
    <w:p w14:paraId="24B193F7" w14:textId="3395619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88">
    <w:p w14:paraId="4B86368F" w14:textId="022D12D9" w:rsidR="00511561" w:rsidRPr="00511561" w:rsidRDefault="00511561" w:rsidP="00511561">
      <w:pPr>
        <w:pStyle w:val="FootNote"/>
        <w:rPr>
          <w:rFonts w:cs="Times"/>
          <w:i/>
          <w:iCs/>
        </w:rPr>
      </w:pPr>
      <w:r w:rsidRPr="00511561">
        <w:rPr>
          <w:rFonts w:cs="Times"/>
          <w:i/>
          <w:iCs/>
        </w:rPr>
        <w:tab/>
      </w:r>
      <w:r w:rsidRPr="00511561">
        <w:rPr>
          <w:rStyle w:val="NoteRefInNote"/>
          <w:rFonts w:eastAsiaTheme="majorEastAsia"/>
        </w:rPr>
        <w:footnoteRef/>
      </w:r>
      <w:r w:rsidRPr="00511561">
        <w:rPr>
          <w:rFonts w:cs="Times"/>
          <w:i/>
          <w:iCs/>
        </w:rPr>
        <w:tab/>
        <w:t>Id.</w:t>
      </w:r>
    </w:p>
  </w:footnote>
  <w:footnote w:id="89">
    <w:p w14:paraId="76E7DEE4" w14:textId="1BBF5426"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at art. 87.</w:t>
      </w:r>
    </w:p>
  </w:footnote>
  <w:footnote w:id="90">
    <w:p w14:paraId="385ED3F4" w14:textId="0C0383C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id.</w:t>
      </w:r>
      <w:r w:rsidRPr="00511561">
        <w:rPr>
          <w:rFonts w:cs="Times"/>
        </w:rPr>
        <w:t xml:space="preserve"> at art. 97 (stating that </w:t>
      </w:r>
      <w:r>
        <w:rPr>
          <w:rFonts w:cs="Times"/>
        </w:rPr>
        <w:t>“</w:t>
      </w:r>
      <w:r w:rsidRPr="00511561">
        <w:rPr>
          <w:rFonts w:cs="Times"/>
        </w:rPr>
        <w:t>[w]here a State Party receives a request</w:t>
      </w:r>
      <w:r>
        <w:rPr>
          <w:rFonts w:cs="Times"/>
        </w:rPr>
        <w:t xml:space="preserve"> . . . </w:t>
      </w:r>
      <w:r w:rsidRPr="00511561">
        <w:rPr>
          <w:rFonts w:cs="Times"/>
        </w:rPr>
        <w:t>in relation to which it identifies problems which may impede or prevent the execution of the request, that State shall consult with the Court without delay in order to resolve the matter.</w:t>
      </w:r>
      <w:r>
        <w:rPr>
          <w:rFonts w:cs="Times"/>
        </w:rPr>
        <w:t>”</w:t>
      </w:r>
      <w:r w:rsidRPr="00511561">
        <w:rPr>
          <w:rFonts w:cs="Times"/>
        </w:rPr>
        <w:t>).</w:t>
      </w:r>
    </w:p>
  </w:footnote>
  <w:footnote w:id="91">
    <w:p w14:paraId="28F60CB0" w14:textId="4FC0CA1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art. 112(2)(f).</w:t>
      </w:r>
    </w:p>
  </w:footnote>
  <w:footnote w:id="92">
    <w:p w14:paraId="025175A3" w14:textId="126D08B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ICC-ASP/17/Res.5 Ann. II, ¶ 10 (Dec. 12, 2018).</w:t>
      </w:r>
    </w:p>
  </w:footnote>
  <w:footnote w:id="93">
    <w:p w14:paraId="0A1A9C73" w14:textId="531758F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 14(a).</w:t>
      </w:r>
    </w:p>
  </w:footnote>
  <w:footnote w:id="94">
    <w:p w14:paraId="39F09E07" w14:textId="5CB15C7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id.</w:t>
      </w:r>
      <w:r w:rsidRPr="00511561">
        <w:rPr>
          <w:rFonts w:cs="Times"/>
        </w:rPr>
        <w:t xml:space="preserve"> at ¶¶ 14(a)–(g).</w:t>
      </w:r>
    </w:p>
  </w:footnote>
  <w:footnote w:id="95">
    <w:p w14:paraId="5EEB507E" w14:textId="042AEB4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e.g., </w:t>
      </w:r>
      <w:r w:rsidRPr="00511561">
        <w:rPr>
          <w:rFonts w:cs="Times"/>
        </w:rPr>
        <w:t xml:space="preserve">Kersten, </w:t>
      </w:r>
      <w:r w:rsidRPr="00511561">
        <w:rPr>
          <w:rFonts w:cs="Times"/>
          <w:i/>
          <w:iCs/>
        </w:rPr>
        <w:t>supra</w:t>
      </w:r>
      <w:r w:rsidRPr="00511561">
        <w:rPr>
          <w:rFonts w:cs="Times"/>
        </w:rPr>
        <w:t xml:space="preserve"> note 8.</w:t>
      </w:r>
    </w:p>
  </w:footnote>
  <w:footnote w:id="96">
    <w:p w14:paraId="047BDA27" w14:textId="6C574FB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sidDel="00523EAF">
        <w:rPr>
          <w:rFonts w:cs="Times"/>
        </w:rPr>
        <w:t xml:space="preserve"> </w:t>
      </w:r>
      <w:r w:rsidRPr="00511561">
        <w:rPr>
          <w:rFonts w:cs="Times"/>
        </w:rPr>
        <w:t>(defining rule sets in game theory, which arguably align with legal norms as influences on actors</w:t>
      </w:r>
      <w:r>
        <w:rPr>
          <w:rFonts w:cs="Times"/>
        </w:rPr>
        <w:t>’</w:t>
      </w:r>
      <w:r w:rsidRPr="00511561">
        <w:rPr>
          <w:rFonts w:cs="Times"/>
        </w:rPr>
        <w:t xml:space="preserve"> decisions within game theory).</w:t>
      </w:r>
    </w:p>
  </w:footnote>
  <w:footnote w:id="97">
    <w:p w14:paraId="1E6CBE9F" w14:textId="1315B3BA" w:rsidR="00511561" w:rsidRPr="00511561" w:rsidRDefault="00511561" w:rsidP="00511561">
      <w:pPr>
        <w:pStyle w:val="FootNote"/>
        <w:rPr>
          <w:rFonts w:cs="Times"/>
        </w:rPr>
      </w:pPr>
      <w:r w:rsidRPr="00511561">
        <w:rPr>
          <w:rFonts w:cs="Times"/>
          <w:smallCaps/>
        </w:rPr>
        <w:tab/>
      </w:r>
      <w:r w:rsidRPr="00511561">
        <w:rPr>
          <w:rStyle w:val="NoteRefInNote"/>
          <w:rFonts w:eastAsiaTheme="majorEastAsia"/>
        </w:rPr>
        <w:footnoteRef/>
      </w:r>
      <w:r w:rsidRPr="00511561">
        <w:rPr>
          <w:rFonts w:cs="Times"/>
          <w:smallCaps/>
        </w:rPr>
        <w:tab/>
        <w:t>Legal Info. Inst.</w:t>
      </w:r>
      <w:r w:rsidRPr="00511561">
        <w:rPr>
          <w:rFonts w:cs="Times"/>
        </w:rPr>
        <w:t xml:space="preserve">, </w:t>
      </w:r>
      <w:r w:rsidRPr="00511561">
        <w:rPr>
          <w:rFonts w:cs="Times"/>
          <w:i/>
          <w:iCs/>
        </w:rPr>
        <w:t>supra</w:t>
      </w:r>
      <w:r w:rsidRPr="00511561">
        <w:rPr>
          <w:rFonts w:cs="Times"/>
        </w:rPr>
        <w:t xml:space="preserve"> note 9.</w:t>
      </w:r>
    </w:p>
  </w:footnote>
  <w:footnote w:id="98">
    <w:p w14:paraId="4CD992EE" w14:textId="7D09B53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smallCaps/>
        </w:rPr>
        <w:t>Int</w:t>
      </w:r>
      <w:r>
        <w:rPr>
          <w:rFonts w:cs="Times"/>
          <w:smallCaps/>
        </w:rPr>
        <w:t>’</w:t>
      </w:r>
      <w:r w:rsidRPr="00511561">
        <w:rPr>
          <w:rFonts w:cs="Times"/>
          <w:smallCaps/>
        </w:rPr>
        <w:t>l Crim. Ct.</w:t>
      </w:r>
      <w:r w:rsidRPr="00511561">
        <w:rPr>
          <w:rFonts w:cs="Times"/>
        </w:rPr>
        <w:t xml:space="preserve">, </w:t>
      </w:r>
      <w:r w:rsidRPr="00511561">
        <w:rPr>
          <w:rFonts w:cs="Times"/>
          <w:i/>
          <w:iCs/>
        </w:rPr>
        <w:t>supra</w:t>
      </w:r>
      <w:r w:rsidRPr="00511561">
        <w:rPr>
          <w:rFonts w:cs="Times"/>
        </w:rPr>
        <w:t xml:space="preserve"> note 76, at 36.</w:t>
      </w:r>
    </w:p>
  </w:footnote>
  <w:footnote w:id="99">
    <w:p w14:paraId="51E6A501" w14:textId="31A600AD"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supra</w:t>
      </w:r>
      <w:r w:rsidRPr="00511561">
        <w:rPr>
          <w:rFonts w:cs="Times"/>
        </w:rPr>
        <w:t xml:space="preserve"> note 8, at 90.</w:t>
      </w:r>
    </w:p>
  </w:footnote>
  <w:footnote w:id="100">
    <w:p w14:paraId="1854EA76" w14:textId="3F3CCA8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101">
    <w:p w14:paraId="0CB37535" w14:textId="37C699B8"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Benzing, </w:t>
      </w:r>
      <w:r w:rsidRPr="00511561">
        <w:rPr>
          <w:rFonts w:cs="Times"/>
          <w:i/>
          <w:iCs/>
        </w:rPr>
        <w:t>supra</w:t>
      </w:r>
      <w:r w:rsidRPr="00511561">
        <w:rPr>
          <w:rFonts w:cs="Times"/>
        </w:rPr>
        <w:t xml:space="preserve"> note 84, at 592.</w:t>
      </w:r>
    </w:p>
  </w:footnote>
  <w:footnote w:id="102">
    <w:p w14:paraId="5BA4188A" w14:textId="0A62610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593.</w:t>
      </w:r>
    </w:p>
  </w:footnote>
  <w:footnote w:id="103">
    <w:p w14:paraId="414E5F5E" w14:textId="0480876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04">
    <w:p w14:paraId="76AD6EF0" w14:textId="219EAAC7"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supra</w:t>
      </w:r>
      <w:r w:rsidRPr="00511561">
        <w:rPr>
          <w:rFonts w:cs="Times"/>
        </w:rPr>
        <w:t xml:space="preserve"> note 8, at 92.</w:t>
      </w:r>
    </w:p>
  </w:footnote>
  <w:footnote w:id="105">
    <w:p w14:paraId="7685EC90" w14:textId="2DB72575"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Benzing, </w:t>
      </w:r>
      <w:r w:rsidRPr="00511561">
        <w:rPr>
          <w:rFonts w:cs="Times"/>
          <w:i/>
          <w:iCs/>
        </w:rPr>
        <w:t>supra</w:t>
      </w:r>
      <w:r w:rsidRPr="00511561">
        <w:rPr>
          <w:rFonts w:cs="Times"/>
        </w:rPr>
        <w:t xml:space="preserve"> note 83, at 597.</w:t>
      </w:r>
    </w:p>
  </w:footnote>
  <w:footnote w:id="106">
    <w:p w14:paraId="0AD1486D" w14:textId="2AECC9C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600.</w:t>
      </w:r>
    </w:p>
  </w:footnote>
  <w:footnote w:id="107">
    <w:p w14:paraId="19D437AB" w14:textId="1F39E86A"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 xml:space="preserve">supra </w:t>
      </w:r>
      <w:r w:rsidRPr="00511561">
        <w:rPr>
          <w:rFonts w:cs="Times"/>
        </w:rPr>
        <w:t>note 8, at 99.</w:t>
      </w:r>
    </w:p>
  </w:footnote>
  <w:footnote w:id="108">
    <w:p w14:paraId="7D686C31" w14:textId="5E69CBE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id.</w:t>
      </w:r>
      <w:r w:rsidRPr="00511561">
        <w:rPr>
          <w:rFonts w:cs="Times"/>
        </w:rPr>
        <w:t xml:space="preserve"> at 97 (describing the Clinton and Bush administrations</w:t>
      </w:r>
      <w:r>
        <w:rPr>
          <w:rFonts w:cs="Times"/>
        </w:rPr>
        <w:t>’</w:t>
      </w:r>
      <w:r w:rsidRPr="00511561">
        <w:rPr>
          <w:rFonts w:cs="Times"/>
        </w:rPr>
        <w:t xml:space="preserve"> opposition to the ICC).</w:t>
      </w:r>
    </w:p>
  </w:footnote>
  <w:footnote w:id="109">
    <w:p w14:paraId="2A0B822C" w14:textId="4C80BF4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93.</w:t>
      </w:r>
    </w:p>
  </w:footnote>
  <w:footnote w:id="110">
    <w:p w14:paraId="168D9AE4" w14:textId="3E914CF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11">
    <w:p w14:paraId="517BEC8D" w14:textId="56E62CD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92–93.</w:t>
      </w:r>
    </w:p>
  </w:footnote>
  <w:footnote w:id="112">
    <w:p w14:paraId="1A2EC141" w14:textId="39C0A57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Id. </w:t>
      </w:r>
      <w:r w:rsidRPr="00511561">
        <w:rPr>
          <w:rFonts w:cs="Times"/>
        </w:rPr>
        <w:t>at 93.</w:t>
      </w:r>
    </w:p>
  </w:footnote>
  <w:footnote w:id="113">
    <w:p w14:paraId="0EB8A0E6" w14:textId="4CB2BCA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99.</w:t>
      </w:r>
    </w:p>
  </w:footnote>
  <w:footnote w:id="114">
    <w:p w14:paraId="5C015991" w14:textId="26C3B75A" w:rsidR="00511561" w:rsidRPr="00511561" w:rsidRDefault="00511561" w:rsidP="00511561">
      <w:pPr>
        <w:pStyle w:val="FootNote"/>
        <w:rPr>
          <w:rFonts w:cs="Times"/>
          <w:iCs/>
        </w:rPr>
      </w:pPr>
      <w:r w:rsidRPr="00511561">
        <w:rPr>
          <w:rFonts w:cs="Times"/>
          <w:i/>
          <w:iCs/>
        </w:rPr>
        <w:tab/>
      </w:r>
      <w:r w:rsidRPr="00511561">
        <w:rPr>
          <w:rStyle w:val="NoteRefInNote"/>
          <w:rFonts w:eastAsiaTheme="majorEastAsia"/>
        </w:rPr>
        <w:footnoteRef/>
      </w:r>
      <w:r w:rsidRPr="00511561">
        <w:rPr>
          <w:rFonts w:cs="Times"/>
          <w:i/>
          <w:iCs/>
        </w:rPr>
        <w:tab/>
        <w:t>See generally</w:t>
      </w:r>
      <w:r w:rsidRPr="00511561">
        <w:rPr>
          <w:rFonts w:cs="Times"/>
          <w:iCs/>
        </w:rPr>
        <w:t xml:space="preserve"> Prosecutor v. Mongolia, </w:t>
      </w:r>
      <w:r w:rsidRPr="00511561">
        <w:rPr>
          <w:rFonts w:cs="Times"/>
          <w:i/>
        </w:rPr>
        <w:t>supra</w:t>
      </w:r>
      <w:r w:rsidRPr="00511561">
        <w:rPr>
          <w:rFonts w:cs="Times"/>
          <w:iCs/>
        </w:rPr>
        <w:t xml:space="preserve"> note 54 (establishing that, despite having obligations to other nations</w:t>
      </w:r>
      <w:r>
        <w:rPr>
          <w:rFonts w:cs="Times"/>
          <w:iCs/>
        </w:rPr>
        <w:t>’</w:t>
      </w:r>
      <w:r w:rsidRPr="00511561">
        <w:rPr>
          <w:rFonts w:cs="Times"/>
          <w:iCs/>
        </w:rPr>
        <w:t xml:space="preserve"> Heads of State under other treaties, Mongolia could not rely on those obligations in defense of its inaction regarding Putin</w:t>
      </w:r>
      <w:r>
        <w:rPr>
          <w:rFonts w:cs="Times"/>
          <w:iCs/>
        </w:rPr>
        <w:t>’</w:t>
      </w:r>
      <w:r w:rsidRPr="00511561">
        <w:rPr>
          <w:rFonts w:cs="Times"/>
          <w:iCs/>
        </w:rPr>
        <w:t>s arrest).</w:t>
      </w:r>
    </w:p>
  </w:footnote>
  <w:footnote w:id="115">
    <w:p w14:paraId="3AD5EA7D" w14:textId="50483F8E"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at art. 1.</w:t>
      </w:r>
    </w:p>
  </w:footnote>
  <w:footnote w:id="116">
    <w:p w14:paraId="3B919CF2" w14:textId="66412B4E" w:rsidR="00511561" w:rsidRPr="00511561" w:rsidRDefault="00511561" w:rsidP="00511561">
      <w:pPr>
        <w:pStyle w:val="FootNote"/>
        <w:rPr>
          <w:rFonts w:cs="Times"/>
        </w:rPr>
      </w:pPr>
      <w:r w:rsidRPr="00F37018">
        <w:rPr>
          <w:rFonts w:cs="Times"/>
        </w:rPr>
        <w:tab/>
      </w:r>
      <w:r w:rsidRPr="00F37018">
        <w:rPr>
          <w:rStyle w:val="NoteRefInNote"/>
          <w:rFonts w:eastAsiaTheme="majorEastAsia"/>
        </w:rPr>
        <w:footnoteRef/>
      </w:r>
      <w:r w:rsidRPr="00F37018">
        <w:rPr>
          <w:rFonts w:cs="Times"/>
        </w:rPr>
        <w:tab/>
        <w:t xml:space="preserve">Anatol Rapoport, </w:t>
      </w:r>
      <w:r w:rsidRPr="00F37018">
        <w:rPr>
          <w:rFonts w:cs="Times"/>
          <w:i/>
          <w:iCs/>
        </w:rPr>
        <w:t>International Relations and Game Theory</w:t>
      </w:r>
      <w:r w:rsidRPr="00F37018">
        <w:rPr>
          <w:rFonts w:cs="Times"/>
        </w:rPr>
        <w:t xml:space="preserve">, </w:t>
      </w:r>
      <w:r w:rsidRPr="00F37018">
        <w:rPr>
          <w:rFonts w:cs="Times"/>
          <w:i/>
          <w:iCs/>
        </w:rPr>
        <w:t xml:space="preserve">in </w:t>
      </w:r>
      <w:r w:rsidRPr="00F37018">
        <w:rPr>
          <w:rFonts w:cs="Times"/>
          <w:smallCaps/>
        </w:rPr>
        <w:t>Arms Control and Disarmament: 50 Years of Experience in Nuclear Education</w:t>
      </w:r>
      <w:r w:rsidRPr="00F37018">
        <w:rPr>
          <w:rFonts w:cs="Times"/>
        </w:rPr>
        <w:t xml:space="preserve"> 39 (Foradori, et al. ed., 2017).</w:t>
      </w:r>
    </w:p>
  </w:footnote>
  <w:footnote w:id="117">
    <w:p w14:paraId="5C3EBA17" w14:textId="142F605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18">
    <w:p w14:paraId="6D75FDD0" w14:textId="2BEB11A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119">
    <w:p w14:paraId="6296FF42" w14:textId="5CF850D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20">
    <w:p w14:paraId="55CB79FE" w14:textId="4E6DFDC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Goldsmith, </w:t>
      </w:r>
      <w:r w:rsidRPr="00511561">
        <w:rPr>
          <w:rFonts w:cs="Times"/>
          <w:i/>
          <w:iCs/>
        </w:rPr>
        <w:t xml:space="preserve">supra </w:t>
      </w:r>
      <w:r w:rsidRPr="00511561">
        <w:rPr>
          <w:rFonts w:cs="Times"/>
        </w:rPr>
        <w:t>note 8, at 99 (recognizing the ICC</w:t>
      </w:r>
      <w:r>
        <w:rPr>
          <w:rFonts w:cs="Times"/>
        </w:rPr>
        <w:t>’</w:t>
      </w:r>
      <w:r w:rsidRPr="00511561">
        <w:rPr>
          <w:rFonts w:cs="Times"/>
        </w:rPr>
        <w:t>s goal of adjudicating crimes within its jurisdiction as serving broad principles of what is morally ideal for the international community).</w:t>
      </w:r>
    </w:p>
  </w:footnote>
  <w:footnote w:id="121">
    <w:p w14:paraId="7A13D824" w14:textId="7D4373C6"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Rapoport, </w:t>
      </w:r>
      <w:r w:rsidRPr="00511561">
        <w:rPr>
          <w:rFonts w:cs="Times"/>
          <w:i/>
          <w:iCs/>
        </w:rPr>
        <w:t>supra</w:t>
      </w:r>
      <w:r w:rsidRPr="00511561">
        <w:rPr>
          <w:rFonts w:cs="Times"/>
        </w:rPr>
        <w:t xml:space="preserve"> note 117, at 40.</w:t>
      </w:r>
    </w:p>
  </w:footnote>
  <w:footnote w:id="122">
    <w:p w14:paraId="6657D93B" w14:textId="4407994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23">
    <w:p w14:paraId="5335ABE3" w14:textId="40F91A7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24">
    <w:p w14:paraId="4D0FFC2E" w14:textId="538C518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125">
    <w:p w14:paraId="794A4CF2" w14:textId="26AB637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generally</w:t>
      </w:r>
      <w:r w:rsidRPr="00511561">
        <w:rPr>
          <w:rFonts w:cs="Times"/>
        </w:rPr>
        <w:t xml:space="preserve"> Jens David Ohlin, </w:t>
      </w:r>
      <w:r w:rsidRPr="00511561">
        <w:rPr>
          <w:rFonts w:cs="Times"/>
          <w:i/>
          <w:iCs/>
        </w:rPr>
        <w:t>Nash Equilibrium and International Law</w:t>
      </w:r>
      <w:r w:rsidRPr="00511561">
        <w:rPr>
          <w:rFonts w:cs="Times"/>
        </w:rPr>
        <w:t xml:space="preserve">, 96 </w:t>
      </w:r>
      <w:r w:rsidRPr="00511561">
        <w:rPr>
          <w:rFonts w:cs="Times"/>
          <w:smallCaps/>
        </w:rPr>
        <w:t>Cornell L. Rev.</w:t>
      </w:r>
      <w:r w:rsidRPr="00511561">
        <w:rPr>
          <w:rFonts w:cs="Times"/>
        </w:rPr>
        <w:t xml:space="preserve"> 869 (2011) (positing that </w:t>
      </w:r>
      <w:r>
        <w:rPr>
          <w:rFonts w:cs="Times"/>
        </w:rPr>
        <w:t>“</w:t>
      </w:r>
      <w:r w:rsidRPr="00511561">
        <w:rPr>
          <w:rFonts w:cs="Times"/>
        </w:rPr>
        <w:t>[i]n domains where international law has the greatest purchase, the preferred strategy is reciprocal compliance with international norms</w:t>
      </w:r>
      <w:r>
        <w:rPr>
          <w:rFonts w:cs="Times"/>
        </w:rPr>
        <w:t>”</w:t>
      </w:r>
      <w:r w:rsidRPr="00511561">
        <w:rPr>
          <w:rFonts w:cs="Times"/>
        </w:rPr>
        <w:t xml:space="preserve"> as compliance will maximize utility for actors).</w:t>
      </w:r>
    </w:p>
  </w:footnote>
  <w:footnote w:id="126">
    <w:p w14:paraId="3276D0C2" w14:textId="2EAFDC75"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Rapoport, </w:t>
      </w:r>
      <w:r w:rsidRPr="00511561">
        <w:rPr>
          <w:rFonts w:cs="Times"/>
          <w:i/>
          <w:iCs/>
        </w:rPr>
        <w:t>supra</w:t>
      </w:r>
      <w:r w:rsidRPr="00511561">
        <w:rPr>
          <w:rFonts w:cs="Times"/>
        </w:rPr>
        <w:t xml:space="preserve"> note 117, at 40–41.</w:t>
      </w:r>
    </w:p>
  </w:footnote>
  <w:footnote w:id="127">
    <w:p w14:paraId="13336B3C" w14:textId="195D559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28">
    <w:p w14:paraId="36A59E96" w14:textId="5CFD8690"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Ohlin, </w:t>
      </w:r>
      <w:r w:rsidRPr="00511561">
        <w:rPr>
          <w:rFonts w:cs="Times"/>
          <w:i/>
          <w:iCs/>
        </w:rPr>
        <w:t xml:space="preserve">supra </w:t>
      </w:r>
      <w:r w:rsidRPr="00511561">
        <w:rPr>
          <w:rFonts w:cs="Times"/>
        </w:rPr>
        <w:t>note 125, at 870.</w:t>
      </w:r>
    </w:p>
  </w:footnote>
  <w:footnote w:id="129">
    <w:p w14:paraId="0AC1A667" w14:textId="3CD64AF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e.g., </w:t>
      </w:r>
      <w:r w:rsidRPr="00511561">
        <w:rPr>
          <w:rFonts w:cs="Times"/>
        </w:rPr>
        <w:t xml:space="preserve">Prosecutor v. Mongolia, </w:t>
      </w:r>
      <w:r w:rsidRPr="00511561">
        <w:rPr>
          <w:rFonts w:cs="Times"/>
          <w:i/>
          <w:iCs/>
        </w:rPr>
        <w:t>supra</w:t>
      </w:r>
      <w:r w:rsidRPr="00511561">
        <w:rPr>
          <w:rFonts w:cs="Times"/>
        </w:rPr>
        <w:t xml:space="preserve"> note 6, at ¶ 28.</w:t>
      </w:r>
    </w:p>
  </w:footnote>
  <w:footnote w:id="130">
    <w:p w14:paraId="421982F4" w14:textId="22FB916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generally id.</w:t>
      </w:r>
      <w:r w:rsidRPr="00511561">
        <w:rPr>
          <w:rFonts w:cs="Times"/>
        </w:rPr>
        <w:t xml:space="preserve"> at ¶ 40 (evidencing the fact that States Parties are willing non-compliant when their interests are better served elsewhere).</w:t>
      </w:r>
    </w:p>
  </w:footnote>
  <w:footnote w:id="131">
    <w:p w14:paraId="67C193B2" w14:textId="7BD29D3F"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Ohlin, </w:t>
      </w:r>
      <w:r w:rsidRPr="00511561">
        <w:rPr>
          <w:rFonts w:cs="Times"/>
          <w:i/>
          <w:iCs/>
        </w:rPr>
        <w:t>supra</w:t>
      </w:r>
      <w:r w:rsidRPr="00511561">
        <w:rPr>
          <w:rFonts w:cs="Times"/>
        </w:rPr>
        <w:t xml:space="preserve"> note 125, at 870.</w:t>
      </w:r>
    </w:p>
  </w:footnote>
  <w:footnote w:id="132">
    <w:p w14:paraId="084BF154" w14:textId="21E7433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871.</w:t>
      </w:r>
    </w:p>
  </w:footnote>
  <w:footnote w:id="133">
    <w:p w14:paraId="6475D8F0" w14:textId="710A447D"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States Parties to the Rome Statute, </w:t>
      </w:r>
      <w:r w:rsidRPr="00511561">
        <w:rPr>
          <w:rFonts w:cs="Times"/>
          <w:smallCaps/>
        </w:rPr>
        <w:t>Int</w:t>
      </w:r>
      <w:r>
        <w:rPr>
          <w:rFonts w:cs="Times"/>
          <w:smallCaps/>
        </w:rPr>
        <w:t>’</w:t>
      </w:r>
      <w:r w:rsidRPr="00511561">
        <w:rPr>
          <w:rFonts w:cs="Times"/>
          <w:smallCaps/>
        </w:rPr>
        <w:t>l Crim. Ct.</w:t>
      </w:r>
      <w:r w:rsidRPr="00511561">
        <w:rPr>
          <w:rFonts w:cs="Times"/>
        </w:rPr>
        <w:t>, https://asp.icc-cpi.int/states-parties [https://perma.cc/YF8N-6YZQ].</w:t>
      </w:r>
    </w:p>
  </w:footnote>
  <w:footnote w:id="134">
    <w:p w14:paraId="18105C96" w14:textId="39E5E02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35">
    <w:p w14:paraId="46BCA176" w14:textId="3C3DB0F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Mared Gwyn Jones, </w:t>
      </w:r>
      <w:r w:rsidRPr="00511561">
        <w:rPr>
          <w:rFonts w:cs="Times"/>
          <w:i/>
          <w:iCs/>
        </w:rPr>
        <w:t>Fact Check: Where Do EU Countries Stand on ICC</w:t>
      </w:r>
      <w:r>
        <w:rPr>
          <w:rFonts w:cs="Times"/>
          <w:i/>
          <w:iCs/>
        </w:rPr>
        <w:t>’</w:t>
      </w:r>
      <w:r w:rsidRPr="00511561">
        <w:rPr>
          <w:rFonts w:cs="Times"/>
          <w:i/>
          <w:iCs/>
        </w:rPr>
        <w:t>s Arrest Warrant for Netanyahu?</w:t>
      </w:r>
      <w:r w:rsidRPr="00511561">
        <w:rPr>
          <w:rFonts w:cs="Times"/>
        </w:rPr>
        <w:t xml:space="preserve">, </w:t>
      </w:r>
      <w:r w:rsidRPr="00511561">
        <w:rPr>
          <w:rFonts w:cs="Times"/>
          <w:smallCaps/>
        </w:rPr>
        <w:t xml:space="preserve">Euro News </w:t>
      </w:r>
      <w:r w:rsidRPr="00511561">
        <w:rPr>
          <w:rFonts w:cs="Times"/>
        </w:rPr>
        <w:t>(Mar. 12, 2024, 8:37 AM), https://www.euronews.com/my-europe/2024/12/03/fact-check-where-do-eu-countries-stand-on-iccs-arrest-warrant-for-netanyahu [https://perma.cc/95G5-NAKW].</w:t>
      </w:r>
    </w:p>
  </w:footnote>
  <w:footnote w:id="136">
    <w:p w14:paraId="4D8B03D5" w14:textId="0CD8CBD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137">
    <w:p w14:paraId="691EE5A8" w14:textId="5615774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38">
    <w:p w14:paraId="615D51B8" w14:textId="59AEF39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39">
    <w:p w14:paraId="5414EB11" w14:textId="394A4905" w:rsidR="00511561" w:rsidRPr="00511561" w:rsidRDefault="00511561" w:rsidP="00511561">
      <w:pPr>
        <w:pStyle w:val="FootNote"/>
        <w:rPr>
          <w:rFonts w:cs="Times"/>
          <w:lang w:val="es-419"/>
        </w:rPr>
      </w:pPr>
      <w:r w:rsidRPr="00511561">
        <w:rPr>
          <w:rFonts w:cs="Times"/>
          <w:lang w:val="es-419"/>
        </w:rPr>
        <w:tab/>
      </w:r>
      <w:r w:rsidRPr="00511561">
        <w:rPr>
          <w:rStyle w:val="NoteRefInNote"/>
          <w:rFonts w:eastAsiaTheme="majorEastAsia"/>
        </w:rPr>
        <w:footnoteRef/>
      </w:r>
      <w:r w:rsidRPr="00511561">
        <w:rPr>
          <w:rFonts w:cs="Times"/>
          <w:lang w:val="es-419"/>
        </w:rPr>
        <w:tab/>
        <w:t xml:space="preserve">Jones, </w:t>
      </w:r>
      <w:r w:rsidRPr="00511561">
        <w:rPr>
          <w:rFonts w:cs="Times"/>
          <w:i/>
          <w:iCs/>
          <w:lang w:val="es-419"/>
        </w:rPr>
        <w:t xml:space="preserve">supra </w:t>
      </w:r>
      <w:r w:rsidRPr="00511561">
        <w:rPr>
          <w:rFonts w:cs="Times"/>
          <w:lang w:val="es-419"/>
        </w:rPr>
        <w:t>note 135.</w:t>
      </w:r>
    </w:p>
  </w:footnote>
  <w:footnote w:id="140">
    <w:p w14:paraId="418AC23E" w14:textId="3DDCA68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smallCaps/>
        </w:rPr>
        <w:t>Reuters</w:t>
      </w:r>
      <w:r w:rsidRPr="00511561">
        <w:rPr>
          <w:rFonts w:cs="Times"/>
        </w:rPr>
        <w:t xml:space="preserve">, </w:t>
      </w:r>
      <w:r w:rsidRPr="00511561">
        <w:rPr>
          <w:rFonts w:cs="Times"/>
          <w:i/>
          <w:iCs/>
        </w:rPr>
        <w:t>infra</w:t>
      </w:r>
      <w:r w:rsidRPr="00511561">
        <w:rPr>
          <w:rFonts w:cs="Times"/>
        </w:rPr>
        <w:t xml:space="preserve"> note 164.</w:t>
      </w:r>
    </w:p>
  </w:footnote>
  <w:footnote w:id="141">
    <w:p w14:paraId="034AA0EA" w14:textId="1DCCB20C" w:rsidR="00511561" w:rsidRPr="00511561" w:rsidRDefault="00511561" w:rsidP="00511561">
      <w:pPr>
        <w:pStyle w:val="FootNote"/>
        <w:rPr>
          <w:rFonts w:cs="Times"/>
          <w:lang w:val="es-419"/>
        </w:rPr>
      </w:pPr>
      <w:r w:rsidRPr="00511561">
        <w:rPr>
          <w:rFonts w:cs="Times"/>
          <w:i/>
          <w:iCs/>
          <w:lang w:val="es-419"/>
        </w:rPr>
        <w:tab/>
      </w:r>
      <w:r w:rsidRPr="00511561">
        <w:rPr>
          <w:rStyle w:val="NoteRefInNote"/>
          <w:rFonts w:eastAsiaTheme="majorEastAsia"/>
        </w:rPr>
        <w:footnoteRef/>
      </w:r>
      <w:r w:rsidRPr="00511561">
        <w:rPr>
          <w:rFonts w:cs="Times"/>
          <w:i/>
          <w:iCs/>
          <w:lang w:val="es-419"/>
        </w:rPr>
        <w:tab/>
        <w:t>Id.</w:t>
      </w:r>
    </w:p>
  </w:footnote>
  <w:footnote w:id="142">
    <w:p w14:paraId="610BE30F" w14:textId="68F40DD8" w:rsidR="00511561" w:rsidRPr="00511561" w:rsidRDefault="00511561" w:rsidP="00511561">
      <w:pPr>
        <w:pStyle w:val="FootNote"/>
        <w:rPr>
          <w:rFonts w:cs="Times"/>
          <w:i/>
          <w:iC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43">
    <w:p w14:paraId="20129D2E" w14:textId="1520F87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generally</w:t>
      </w:r>
      <w:r w:rsidRPr="00511561">
        <w:rPr>
          <w:rFonts w:cs="Times"/>
        </w:rPr>
        <w:t xml:space="preserve"> Noa Landau, </w:t>
      </w:r>
      <w:r w:rsidRPr="00511561">
        <w:rPr>
          <w:rFonts w:cs="Times"/>
          <w:i/>
          <w:iCs/>
        </w:rPr>
        <w:t>In Brussels, Netanyahu Talks Up U.S. Peace Bid as EU Pushes for Bigger Role</w:t>
      </w:r>
      <w:r w:rsidRPr="00511561">
        <w:rPr>
          <w:rFonts w:cs="Times"/>
        </w:rPr>
        <w:t xml:space="preserve">, </w:t>
      </w:r>
      <w:r w:rsidRPr="00511561">
        <w:rPr>
          <w:rFonts w:cs="Times"/>
          <w:smallCaps/>
        </w:rPr>
        <w:t>Haaretz</w:t>
      </w:r>
      <w:r w:rsidRPr="00511561">
        <w:rPr>
          <w:rFonts w:cs="Times"/>
        </w:rPr>
        <w:t xml:space="preserve"> (Dec. 11, 2017), https://www.haaretz.com/world-news/europe/2017-12-11/ty-article/in-brussels-netanyahu-talks-up-u-s-peace-bid-as-eu-pushes-for-bigger-role/0000017f-f81b-d2d5-a9ff-f89f9a650000 [https://perma.cc/HL5m-Q5KZ]; </w:t>
      </w:r>
      <w:r w:rsidRPr="00511561">
        <w:rPr>
          <w:rFonts w:cs="Times"/>
          <w:i/>
          <w:iCs/>
        </w:rPr>
        <w:t xml:space="preserve">see generally </w:t>
      </w:r>
      <w:r w:rsidRPr="00511561">
        <w:rPr>
          <w:rFonts w:cs="Times"/>
        </w:rPr>
        <w:t xml:space="preserve">Herb Keinon, </w:t>
      </w:r>
      <w:r w:rsidRPr="00511561">
        <w:rPr>
          <w:rFonts w:cs="Times"/>
          <w:i/>
          <w:iCs/>
        </w:rPr>
        <w:t>In Holland, Netanyahu to Stress Israel</w:t>
      </w:r>
      <w:r>
        <w:rPr>
          <w:rFonts w:cs="Times"/>
          <w:i/>
          <w:iCs/>
        </w:rPr>
        <w:t>’</w:t>
      </w:r>
      <w:r w:rsidRPr="00511561">
        <w:rPr>
          <w:rFonts w:cs="Times"/>
          <w:i/>
          <w:iCs/>
        </w:rPr>
        <w:t>s Role as Key Brake on Islamic Terror</w:t>
      </w:r>
      <w:r w:rsidRPr="00511561">
        <w:rPr>
          <w:rFonts w:cs="Times"/>
        </w:rPr>
        <w:t xml:space="preserve">, </w:t>
      </w:r>
      <w:r w:rsidRPr="00511561">
        <w:rPr>
          <w:rFonts w:cs="Times"/>
          <w:smallCaps/>
        </w:rPr>
        <w:t>Jerusalem Post</w:t>
      </w:r>
      <w:r w:rsidRPr="00511561">
        <w:rPr>
          <w:rFonts w:cs="Times"/>
        </w:rPr>
        <w:t xml:space="preserve"> (Sept. 6, 2016), https://www.jpost.com/Israel-News/Politics-And-Diplomacy/In-Holland-Netanyahu-to-stress-Israels-stance-as-key-brake-on-Islamic-terror-467010 [https://perma.cc/PY5A-XQ9E]; </w:t>
      </w:r>
      <w:r w:rsidRPr="00511561">
        <w:rPr>
          <w:rFonts w:cs="Times"/>
          <w:i/>
          <w:iCs/>
        </w:rPr>
        <w:t>see generally</w:t>
      </w:r>
      <w:r w:rsidRPr="00511561">
        <w:rPr>
          <w:rFonts w:cs="Times"/>
        </w:rPr>
        <w:t xml:space="preserve"> </w:t>
      </w:r>
      <w:r w:rsidRPr="00511561">
        <w:rPr>
          <w:rFonts w:cs="Times"/>
          <w:i/>
          <w:iCs/>
        </w:rPr>
        <w:t>Netanyahu Heads to Lithuania for Three-Day Trip</w:t>
      </w:r>
      <w:r w:rsidRPr="00511561">
        <w:rPr>
          <w:rFonts w:cs="Times"/>
        </w:rPr>
        <w:t xml:space="preserve">, </w:t>
      </w:r>
      <w:r w:rsidRPr="00511561">
        <w:rPr>
          <w:rFonts w:cs="Times"/>
          <w:smallCaps/>
        </w:rPr>
        <w:t>Jerusalem Post</w:t>
      </w:r>
      <w:r w:rsidRPr="00511561">
        <w:rPr>
          <w:rFonts w:cs="Times"/>
        </w:rPr>
        <w:t xml:space="preserve"> (Aug. 24, 2018), https://www.jpost.com/Israel-News/Netanyahu-headed-to-Lithuania-for-three-day-trip-565539 [https://perma.cc/MUU7-M9KB] (demonstrating Netanyahu</w:t>
      </w:r>
      <w:r>
        <w:rPr>
          <w:rFonts w:cs="Times"/>
        </w:rPr>
        <w:t>’</w:t>
      </w:r>
      <w:r w:rsidRPr="00511561">
        <w:rPr>
          <w:rFonts w:cs="Times"/>
        </w:rPr>
        <w:t>s visits to these countries).</w:t>
      </w:r>
    </w:p>
  </w:footnote>
  <w:footnote w:id="144">
    <w:p w14:paraId="0524B951" w14:textId="1BF99DD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KPMG, </w:t>
      </w:r>
      <w:r w:rsidRPr="00511561">
        <w:rPr>
          <w:rFonts w:cs="Times"/>
          <w:i/>
          <w:iCs/>
        </w:rPr>
        <w:t xml:space="preserve">infra </w:t>
      </w:r>
      <w:r w:rsidRPr="00511561">
        <w:rPr>
          <w:rFonts w:cs="Times"/>
        </w:rPr>
        <w:t>note 190.</w:t>
      </w:r>
    </w:p>
  </w:footnote>
  <w:footnote w:id="145">
    <w:p w14:paraId="6CE61677" w14:textId="36CC517D"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 xml:space="preserve">supra </w:t>
      </w:r>
      <w:r w:rsidRPr="00511561">
        <w:rPr>
          <w:rFonts w:cs="Times"/>
        </w:rPr>
        <w:t>note 8, at 99.</w:t>
      </w:r>
    </w:p>
  </w:footnote>
  <w:footnote w:id="146">
    <w:p w14:paraId="51F8BC5B" w14:textId="7014A361"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at art. 4 (emphasis added).</w:t>
      </w:r>
    </w:p>
  </w:footnote>
  <w:footnote w:id="147">
    <w:p w14:paraId="4E5EC2E7" w14:textId="7847FF1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Goldsmith, </w:t>
      </w:r>
      <w:r w:rsidRPr="00511561">
        <w:rPr>
          <w:rFonts w:cs="Times"/>
          <w:i/>
          <w:iCs/>
        </w:rPr>
        <w:t>supra</w:t>
      </w:r>
      <w:r w:rsidRPr="00511561">
        <w:rPr>
          <w:rFonts w:cs="Times"/>
        </w:rPr>
        <w:t xml:space="preserve"> note 8 (posing the thesis that the Rome Statute implemented a defective regime for the ICC</w:t>
      </w:r>
      <w:r>
        <w:rPr>
          <w:rFonts w:cs="Times"/>
        </w:rPr>
        <w:t>’</w:t>
      </w:r>
      <w:r w:rsidRPr="00511561">
        <w:rPr>
          <w:rFonts w:cs="Times"/>
        </w:rPr>
        <w:t xml:space="preserve">s goals of proper adjudication of the crimes under its jurisdiction); Kersten, </w:t>
      </w:r>
      <w:r w:rsidRPr="00511561">
        <w:rPr>
          <w:rFonts w:cs="Times"/>
          <w:i/>
          <w:iCs/>
        </w:rPr>
        <w:t>supra</w:t>
      </w:r>
      <w:r w:rsidRPr="00511561">
        <w:rPr>
          <w:rFonts w:cs="Times"/>
        </w:rPr>
        <w:t xml:space="preserve"> note 8 (exhibiting Goldsmith</w:t>
      </w:r>
      <w:r>
        <w:rPr>
          <w:rFonts w:cs="Times"/>
        </w:rPr>
        <w:t>’</w:t>
      </w:r>
      <w:r w:rsidRPr="00511561">
        <w:rPr>
          <w:rFonts w:cs="Times"/>
        </w:rPr>
        <w:t>s thesis).</w:t>
      </w:r>
    </w:p>
  </w:footnote>
  <w:footnote w:id="148">
    <w:p w14:paraId="2467FB93" w14:textId="2DC14485"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Rapoport, </w:t>
      </w:r>
      <w:r w:rsidRPr="00511561">
        <w:rPr>
          <w:rFonts w:cs="Times"/>
          <w:i/>
          <w:iCs/>
        </w:rPr>
        <w:t>supra</w:t>
      </w:r>
      <w:r w:rsidRPr="00511561">
        <w:rPr>
          <w:rFonts w:cs="Times"/>
        </w:rPr>
        <w:t xml:space="preserve"> note 117, at 40.</w:t>
      </w:r>
    </w:p>
  </w:footnote>
  <w:footnote w:id="149">
    <w:p w14:paraId="442B0035" w14:textId="2B503FB2"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Ohlin, </w:t>
      </w:r>
      <w:r w:rsidRPr="00511561">
        <w:rPr>
          <w:rFonts w:cs="Times"/>
          <w:i/>
          <w:iCs/>
        </w:rPr>
        <w:t xml:space="preserve">supra </w:t>
      </w:r>
      <w:r w:rsidRPr="00511561">
        <w:rPr>
          <w:rFonts w:cs="Times"/>
        </w:rPr>
        <w:t>note 125, at 870.</w:t>
      </w:r>
    </w:p>
  </w:footnote>
  <w:footnote w:id="150">
    <w:p w14:paraId="40B3C7DF" w14:textId="174072E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871.</w:t>
      </w:r>
    </w:p>
  </w:footnote>
  <w:footnote w:id="151">
    <w:p w14:paraId="4C078EF4" w14:textId="7139378F"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52">
    <w:p w14:paraId="5903F16B" w14:textId="3EA977EA"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 xml:space="preserve">supra </w:t>
      </w:r>
      <w:r w:rsidRPr="00511561">
        <w:rPr>
          <w:rFonts w:cs="Times"/>
        </w:rPr>
        <w:t>note 8, at 95.</w:t>
      </w:r>
    </w:p>
  </w:footnote>
  <w:footnote w:id="153">
    <w:p w14:paraId="07517A5B" w14:textId="2FDEF727" w:rsidR="00511561" w:rsidRPr="00511561" w:rsidRDefault="00511561" w:rsidP="00511561">
      <w:pPr>
        <w:pStyle w:val="FootNote"/>
        <w:rPr>
          <w:rFonts w:cs="Times"/>
          <w:iCs/>
        </w:rPr>
      </w:pPr>
      <w:r w:rsidRPr="00511561">
        <w:rPr>
          <w:rFonts w:cs="Times"/>
        </w:rPr>
        <w:tab/>
      </w:r>
      <w:r w:rsidRPr="00511561">
        <w:rPr>
          <w:rStyle w:val="NoteRefInNote"/>
          <w:rFonts w:eastAsiaTheme="majorEastAsia"/>
        </w:rPr>
        <w:footnoteRef/>
      </w:r>
      <w:r w:rsidRPr="00511561">
        <w:rPr>
          <w:rFonts w:cs="Times"/>
        </w:rPr>
        <w:tab/>
        <w:t xml:space="preserve">Ohlin, </w:t>
      </w:r>
      <w:r w:rsidRPr="00511561">
        <w:rPr>
          <w:rFonts w:cs="Times"/>
          <w:i/>
        </w:rPr>
        <w:t xml:space="preserve">supra </w:t>
      </w:r>
      <w:r w:rsidRPr="00511561">
        <w:rPr>
          <w:rFonts w:cs="Times"/>
          <w:iCs/>
        </w:rPr>
        <w:t>note 125, at 873.</w:t>
      </w:r>
    </w:p>
  </w:footnote>
  <w:footnote w:id="154">
    <w:p w14:paraId="5BCF986C" w14:textId="329A984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55">
    <w:p w14:paraId="46175D3F" w14:textId="5B94BB38"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871.</w:t>
      </w:r>
    </w:p>
  </w:footnote>
  <w:footnote w:id="156">
    <w:p w14:paraId="096116F4" w14:textId="556D636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Imposing Sanctions on the International Criminal Court, 90 Fed. Reg. 9369, 9369–70 (Feb. 12, 2025).</w:t>
      </w:r>
    </w:p>
  </w:footnote>
  <w:footnote w:id="157">
    <w:p w14:paraId="6CBA32AE" w14:textId="3AE7525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9370.</w:t>
      </w:r>
    </w:p>
  </w:footnote>
  <w:footnote w:id="158">
    <w:p w14:paraId="3E372536" w14:textId="55D26A3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59">
    <w:p w14:paraId="649B66F3" w14:textId="7B624E5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60">
    <w:p w14:paraId="38C96C6B" w14:textId="741BB835" w:rsidR="00511561" w:rsidRPr="00511561" w:rsidRDefault="00511561" w:rsidP="00511561">
      <w:pPr>
        <w:pStyle w:val="FootNote"/>
        <w:rPr>
          <w:rFonts w:cs="Times"/>
          <w:lang w:val="es-419"/>
        </w:rPr>
      </w:pPr>
      <w:r w:rsidRPr="00511561">
        <w:rPr>
          <w:rFonts w:cs="Times"/>
          <w:lang w:val="es-419"/>
        </w:rPr>
        <w:tab/>
      </w:r>
      <w:r w:rsidRPr="00511561">
        <w:rPr>
          <w:rStyle w:val="NoteRefInNote"/>
          <w:rFonts w:eastAsiaTheme="majorEastAsia"/>
        </w:rPr>
        <w:footnoteRef/>
      </w:r>
      <w:r w:rsidRPr="00511561">
        <w:rPr>
          <w:rFonts w:cs="Times"/>
          <w:lang w:val="es-419"/>
        </w:rPr>
        <w:tab/>
        <w:t xml:space="preserve">Superville, </w:t>
      </w:r>
      <w:r w:rsidRPr="00511561">
        <w:rPr>
          <w:rFonts w:cs="Times"/>
          <w:i/>
          <w:iCs/>
          <w:lang w:val="es-419"/>
        </w:rPr>
        <w:t xml:space="preserve">supra </w:t>
      </w:r>
      <w:r w:rsidRPr="00511561">
        <w:rPr>
          <w:rFonts w:cs="Times"/>
          <w:lang w:val="es-419"/>
        </w:rPr>
        <w:t>note 63.</w:t>
      </w:r>
    </w:p>
  </w:footnote>
  <w:footnote w:id="161">
    <w:p w14:paraId="22510D2E" w14:textId="721EED15" w:rsidR="00511561" w:rsidRPr="00511561" w:rsidRDefault="00511561" w:rsidP="00511561">
      <w:pPr>
        <w:pStyle w:val="FootNote"/>
        <w:rPr>
          <w:rFonts w:cs="Times"/>
          <w:lang w:val="es-419"/>
        </w:rPr>
      </w:pPr>
      <w:r w:rsidRPr="00511561">
        <w:rPr>
          <w:rFonts w:cs="Times"/>
          <w:i/>
          <w:iCs/>
          <w:lang w:val="es-419"/>
        </w:rPr>
        <w:tab/>
      </w:r>
      <w:r w:rsidRPr="00511561">
        <w:rPr>
          <w:rStyle w:val="NoteRefInNote"/>
          <w:rFonts w:eastAsiaTheme="majorEastAsia"/>
        </w:rPr>
        <w:footnoteRef/>
      </w:r>
      <w:r w:rsidRPr="00511561">
        <w:rPr>
          <w:rFonts w:cs="Times"/>
          <w:i/>
          <w:iCs/>
          <w:lang w:val="es-419"/>
        </w:rPr>
        <w:tab/>
        <w:t>Id.</w:t>
      </w:r>
    </w:p>
  </w:footnote>
  <w:footnote w:id="162">
    <w:p w14:paraId="1A735C0E" w14:textId="187E5B0E"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Goldsmith, </w:t>
      </w:r>
      <w:r w:rsidRPr="00511561">
        <w:rPr>
          <w:rFonts w:cs="Times"/>
          <w:i/>
          <w:iCs/>
        </w:rPr>
        <w:t xml:space="preserve">supra </w:t>
      </w:r>
      <w:r w:rsidRPr="00511561">
        <w:rPr>
          <w:rFonts w:cs="Times"/>
        </w:rPr>
        <w:t>note 8, at 93.</w:t>
      </w:r>
    </w:p>
  </w:footnote>
  <w:footnote w:id="163">
    <w:p w14:paraId="569F3D5B" w14:textId="0E8A6E5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Merz Says He Will Find a Way for Netanyahu to Visit Germany Without Being Arrested</w:t>
      </w:r>
      <w:r w:rsidRPr="00511561">
        <w:rPr>
          <w:rFonts w:cs="Times"/>
        </w:rPr>
        <w:t xml:space="preserve">, </w:t>
      </w:r>
      <w:r w:rsidRPr="00511561">
        <w:rPr>
          <w:rFonts w:cs="Times"/>
          <w:smallCaps/>
        </w:rPr>
        <w:t>Reuters</w:t>
      </w:r>
      <w:r w:rsidRPr="00511561">
        <w:rPr>
          <w:rFonts w:cs="Times"/>
        </w:rPr>
        <w:t xml:space="preserve"> (Feb. 24, 2025, 10:31 A.M.), https://www.reuters.com/world/europe/election-winner-merz-invites-netanyahu-germany-says-israelis-office-2025-02-24/ [https://perma.cc/HC6N-GSXS].</w:t>
      </w:r>
    </w:p>
  </w:footnote>
  <w:footnote w:id="164">
    <w:p w14:paraId="3601B5B5" w14:textId="57DEB20A"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65">
    <w:p w14:paraId="7AA4BEEF" w14:textId="46E2FE3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Ketrin Jochecova, </w:t>
      </w:r>
      <w:r w:rsidRPr="00511561">
        <w:rPr>
          <w:rFonts w:cs="Times"/>
          <w:i/>
          <w:iCs/>
        </w:rPr>
        <w:t>Sorry Not Sorry, Says Mongolia After Failure to Arrest Putin</w:t>
      </w:r>
      <w:r w:rsidRPr="00511561">
        <w:rPr>
          <w:rFonts w:cs="Times"/>
        </w:rPr>
        <w:t xml:space="preserve">, </w:t>
      </w:r>
      <w:r w:rsidRPr="00511561">
        <w:rPr>
          <w:rFonts w:cs="Times"/>
          <w:smallCaps/>
        </w:rPr>
        <w:t>Politico</w:t>
      </w:r>
      <w:r w:rsidRPr="00511561">
        <w:rPr>
          <w:rFonts w:cs="Times"/>
        </w:rPr>
        <w:t xml:space="preserve"> (Sept. 3, 2024, 12:29 P.M.), https://www.politico.eu/article/mongolia-failure-arrest-vladimir-putin-international-warrant-international-criminal-court/ [https://perma.cc/FN4V-ZS3Q].</w:t>
      </w:r>
    </w:p>
  </w:footnote>
  <w:footnote w:id="166">
    <w:p w14:paraId="1D3DE364" w14:textId="5121E86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 xml:space="preserve">Ohlin, </w:t>
      </w:r>
      <w:r w:rsidRPr="00511561">
        <w:rPr>
          <w:rFonts w:cs="Times"/>
          <w:i/>
          <w:iCs/>
        </w:rPr>
        <w:t xml:space="preserve">supra </w:t>
      </w:r>
      <w:r w:rsidRPr="00511561">
        <w:rPr>
          <w:rFonts w:cs="Times"/>
        </w:rPr>
        <w:t>note 125, at 875.</w:t>
      </w:r>
    </w:p>
  </w:footnote>
  <w:footnote w:id="167">
    <w:p w14:paraId="6A4943E0" w14:textId="22501F0B"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68">
    <w:p w14:paraId="17BDCC55" w14:textId="4E58A5F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883.</w:t>
      </w:r>
    </w:p>
  </w:footnote>
  <w:footnote w:id="169">
    <w:p w14:paraId="67549831" w14:textId="5CEC8C65"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0">
    <w:p w14:paraId="335F7C4C" w14:textId="2CC33D4C"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1">
    <w:p w14:paraId="71304A0C" w14:textId="58149E0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2">
    <w:p w14:paraId="6495916A" w14:textId="4E6ACFCA"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Abram Chayes &amp; Antonia H. Chayes, </w:t>
      </w:r>
      <w:r w:rsidRPr="00511561">
        <w:rPr>
          <w:rFonts w:cs="Times"/>
          <w:i/>
          <w:iCs/>
        </w:rPr>
        <w:t>A Theory of Compliance</w:t>
      </w:r>
      <w:r w:rsidRPr="00511561">
        <w:rPr>
          <w:rFonts w:cs="Times"/>
        </w:rPr>
        <w:t xml:space="preserve">, </w:t>
      </w:r>
      <w:r w:rsidRPr="00511561">
        <w:rPr>
          <w:rFonts w:cs="Times"/>
          <w:smallCaps/>
        </w:rPr>
        <w:t>The New Sovereignty: Compliance with International Regulatory Agreements</w:t>
      </w:r>
      <w:r w:rsidRPr="00511561">
        <w:rPr>
          <w:rFonts w:cs="Times"/>
        </w:rPr>
        <w:t xml:space="preserve"> 1, 4 (Harvard Univ. Press 1996).</w:t>
      </w:r>
    </w:p>
  </w:footnote>
  <w:footnote w:id="173">
    <w:p w14:paraId="58F86E71" w14:textId="40BB075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4">
    <w:p w14:paraId="4DB1C436" w14:textId="6C714F1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w:t>
      </w:r>
      <w:r w:rsidRPr="00511561">
        <w:rPr>
          <w:rFonts w:cs="Times"/>
          <w:i/>
          <w:iCs/>
        </w:rPr>
        <w:t>id.</w:t>
      </w:r>
    </w:p>
  </w:footnote>
  <w:footnote w:id="175">
    <w:p w14:paraId="37C11952" w14:textId="430949C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6">
    <w:p w14:paraId="05F52021" w14:textId="6535905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7">
    <w:p w14:paraId="27DE5474" w14:textId="2F0535D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8">
    <w:p w14:paraId="175A9E0A" w14:textId="5E5DF5D6"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79">
    <w:p w14:paraId="0A6DAC72" w14:textId="69FC33C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r w:rsidRPr="00511561">
        <w:rPr>
          <w:rFonts w:cs="Times"/>
        </w:rPr>
        <w:t xml:space="preserve"> at 7.</w:t>
      </w:r>
    </w:p>
  </w:footnote>
  <w:footnote w:id="180">
    <w:p w14:paraId="2C7D377B" w14:textId="2C50CAB2"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id.</w:t>
      </w:r>
    </w:p>
  </w:footnote>
  <w:footnote w:id="181">
    <w:p w14:paraId="5AC627A6" w14:textId="7CAB71A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w:t>
      </w:r>
    </w:p>
  </w:footnote>
  <w:footnote w:id="182">
    <w:p w14:paraId="7EEBED75" w14:textId="476E095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Merz Says Netanyahu Will Be Able to Visit Germany Despite ICC Warrant</w:t>
      </w:r>
      <w:r w:rsidRPr="00511561">
        <w:rPr>
          <w:rFonts w:cs="Times"/>
        </w:rPr>
        <w:t xml:space="preserve">, </w:t>
      </w:r>
      <w:r w:rsidRPr="00511561">
        <w:rPr>
          <w:rFonts w:cs="Times"/>
          <w:smallCaps/>
        </w:rPr>
        <w:t>Al Jazeera</w:t>
      </w:r>
      <w:r w:rsidRPr="00511561">
        <w:rPr>
          <w:rFonts w:cs="Times"/>
        </w:rPr>
        <w:t xml:space="preserve"> (Feb. 24, 2025), https://www.aljazeera.com/news/2025/2/24/merz-says-netanyahu-will-be-able-to-visit-germany-despite-icc-warrant [https://perma.cc/U6A5-G3V9].</w:t>
      </w:r>
    </w:p>
  </w:footnote>
  <w:footnote w:id="183">
    <w:p w14:paraId="3C019FC2" w14:textId="431C1491"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Chayes &amp; Chayes, </w:t>
      </w:r>
      <w:r w:rsidRPr="00511561">
        <w:rPr>
          <w:rFonts w:cs="Times"/>
          <w:i/>
          <w:iCs/>
        </w:rPr>
        <w:t>supra</w:t>
      </w:r>
      <w:r w:rsidRPr="00511561">
        <w:rPr>
          <w:rFonts w:cs="Times"/>
        </w:rPr>
        <w:t xml:space="preserve"> note 174, at 4.</w:t>
      </w:r>
    </w:p>
  </w:footnote>
  <w:footnote w:id="184">
    <w:p w14:paraId="255AB1DD" w14:textId="7097B033"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r w:rsidRPr="00511561">
        <w:rPr>
          <w:rFonts w:cs="Times"/>
        </w:rPr>
        <w:t xml:space="preserve"> at 8.</w:t>
      </w:r>
    </w:p>
  </w:footnote>
  <w:footnote w:id="185">
    <w:p w14:paraId="236643B4" w14:textId="34ED0869"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Compare </w:t>
      </w:r>
      <w:r w:rsidRPr="00511561">
        <w:rPr>
          <w:rFonts w:cs="Times"/>
        </w:rPr>
        <w:t xml:space="preserve">Spike, </w:t>
      </w:r>
      <w:r w:rsidRPr="00511561">
        <w:rPr>
          <w:rFonts w:cs="Times"/>
          <w:i/>
          <w:iCs/>
        </w:rPr>
        <w:t>supra</w:t>
      </w:r>
      <w:r w:rsidRPr="00511561">
        <w:rPr>
          <w:rFonts w:cs="Times"/>
        </w:rPr>
        <w:t xml:space="preserve"> note 187, </w:t>
      </w:r>
      <w:r w:rsidRPr="00511561">
        <w:rPr>
          <w:rFonts w:cs="Times"/>
          <w:i/>
          <w:iCs/>
        </w:rPr>
        <w:t xml:space="preserve">with </w:t>
      </w:r>
      <w:r w:rsidRPr="00511561">
        <w:rPr>
          <w:rFonts w:cs="Times"/>
        </w:rPr>
        <w:t xml:space="preserve">Superville, </w:t>
      </w:r>
      <w:r w:rsidRPr="00511561">
        <w:rPr>
          <w:rFonts w:cs="Times"/>
          <w:i/>
          <w:iCs/>
        </w:rPr>
        <w:t>supra</w:t>
      </w:r>
      <w:r w:rsidRPr="00511561">
        <w:rPr>
          <w:rFonts w:cs="Times"/>
        </w:rPr>
        <w:t xml:space="preserve"> note 63 (showing that Hungary and the United States take similar issue with the legal theory justifying the warrant).</w:t>
      </w:r>
    </w:p>
  </w:footnote>
  <w:footnote w:id="186">
    <w:p w14:paraId="254010C2" w14:textId="358B372E"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Spike, </w:t>
      </w:r>
      <w:r w:rsidRPr="00511561">
        <w:rPr>
          <w:rFonts w:cs="Times"/>
          <w:i/>
          <w:iCs/>
        </w:rPr>
        <w:t>supra</w:t>
      </w:r>
      <w:r w:rsidRPr="00511561">
        <w:rPr>
          <w:rFonts w:cs="Times"/>
        </w:rPr>
        <w:t xml:space="preserve"> note 187.</w:t>
      </w:r>
    </w:p>
  </w:footnote>
  <w:footnote w:id="187">
    <w:p w14:paraId="25CF9714" w14:textId="38D01A6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Id.</w:t>
      </w:r>
    </w:p>
  </w:footnote>
  <w:footnote w:id="188">
    <w:p w14:paraId="27E3A160" w14:textId="5450CBBB"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This group includes the Netherlands, Ireland, Lithuania, Slovenia, and Spain.</w:t>
      </w:r>
    </w:p>
  </w:footnote>
  <w:footnote w:id="189">
    <w:p w14:paraId="62B2A1CF" w14:textId="3891E8EB"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Jones, </w:t>
      </w:r>
      <w:r w:rsidRPr="00511561">
        <w:rPr>
          <w:rFonts w:cs="Times"/>
          <w:i/>
          <w:iCs/>
        </w:rPr>
        <w:t xml:space="preserve">supra </w:t>
      </w:r>
      <w:r w:rsidRPr="00511561">
        <w:rPr>
          <w:rFonts w:cs="Times"/>
        </w:rPr>
        <w:t>note 135.</w:t>
      </w:r>
    </w:p>
  </w:footnote>
  <w:footnote w:id="190">
    <w:p w14:paraId="79F67C67" w14:textId="5C927082"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I will concede that it is entirely possible for some kind of </w:t>
      </w:r>
      <w:r>
        <w:rPr>
          <w:rFonts w:cs="Times"/>
        </w:rPr>
        <w:t>“</w:t>
      </w:r>
      <w:r w:rsidRPr="00511561">
        <w:rPr>
          <w:rFonts w:cs="Times"/>
        </w:rPr>
        <w:t>unique relationship</w:t>
      </w:r>
      <w:r>
        <w:rPr>
          <w:rFonts w:cs="Times"/>
        </w:rPr>
        <w:t>”</w:t>
      </w:r>
      <w:r w:rsidRPr="00511561">
        <w:rPr>
          <w:rFonts w:cs="Times"/>
        </w:rPr>
        <w:t xml:space="preserve"> to be present between any of these countries and Israel, but the required historical analysis to ferret this point out is outside of the bounds of this topic. Moreover, none of these countries cite to comparable relationships in indicating their intent to arrest Netanyahu. I, thus, conclude that their interests are not comparable to Germany</w:t>
      </w:r>
      <w:r>
        <w:rPr>
          <w:rFonts w:cs="Times"/>
        </w:rPr>
        <w:t>’</w:t>
      </w:r>
      <w:r w:rsidRPr="00511561">
        <w:rPr>
          <w:rFonts w:cs="Times"/>
        </w:rPr>
        <w:t>s.</w:t>
      </w:r>
    </w:p>
  </w:footnote>
  <w:footnote w:id="191">
    <w:p w14:paraId="000F8571" w14:textId="5D88BEBE"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w:t>
      </w:r>
      <w:r w:rsidRPr="00511561">
        <w:rPr>
          <w:rFonts w:cs="Times"/>
        </w:rPr>
        <w:t xml:space="preserve"> Current Members, </w:t>
      </w:r>
      <w:r w:rsidRPr="00511561">
        <w:rPr>
          <w:rFonts w:cs="Times"/>
          <w:smallCaps/>
        </w:rPr>
        <w:t>United Nations Sec. Council</w:t>
      </w:r>
      <w:r w:rsidRPr="00511561">
        <w:rPr>
          <w:rFonts w:cs="Times"/>
        </w:rPr>
        <w:t>, https://main.un.org/securitycouncil/en/content/current-members [https://perma.cc/QV4Q-KN2T].</w:t>
      </w:r>
    </w:p>
  </w:footnote>
  <w:footnote w:id="192">
    <w:p w14:paraId="6E7EE3A4" w14:textId="427E6244"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generally </w:t>
      </w:r>
      <w:r w:rsidRPr="00511561">
        <w:rPr>
          <w:rFonts w:cs="Times"/>
        </w:rPr>
        <w:t xml:space="preserve">The Statute, </w:t>
      </w:r>
      <w:r w:rsidRPr="00511561">
        <w:rPr>
          <w:rFonts w:cs="Times"/>
          <w:i/>
          <w:iCs/>
        </w:rPr>
        <w:t>supra</w:t>
      </w:r>
      <w:r w:rsidRPr="00511561">
        <w:rPr>
          <w:rFonts w:cs="Times"/>
        </w:rPr>
        <w:t xml:space="preserve"> note 2, at art. 87 (allowing States Parties to comply with the Statute within their own territory).</w:t>
      </w:r>
    </w:p>
  </w:footnote>
  <w:footnote w:id="193">
    <w:p w14:paraId="14EFEF23" w14:textId="3E6A95C6"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This topic does not require a historical analysis of the relationship between Germany and Israel, but it seems self-evident why Germany would not want to arrest the leader of Israel. </w:t>
      </w:r>
    </w:p>
  </w:footnote>
  <w:footnote w:id="194">
    <w:p w14:paraId="53B5C9D6" w14:textId="4BAB9251"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supra</w:t>
      </w:r>
      <w:r w:rsidRPr="00511561">
        <w:rPr>
          <w:rFonts w:cs="Times"/>
        </w:rPr>
        <w:t xml:space="preserve"> note 93.</w:t>
      </w:r>
    </w:p>
  </w:footnote>
  <w:footnote w:id="195">
    <w:p w14:paraId="000CF275" w14:textId="521F2F5D"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See Economic Key Facts Germany as of March 2025</w:t>
      </w:r>
      <w:r w:rsidRPr="00511561">
        <w:rPr>
          <w:rFonts w:cs="Times"/>
        </w:rPr>
        <w:t xml:space="preserve">, </w:t>
      </w:r>
      <w:r w:rsidRPr="00511561">
        <w:rPr>
          <w:rFonts w:cs="Times"/>
          <w:smallCaps/>
        </w:rPr>
        <w:t>KPMG</w:t>
      </w:r>
      <w:r w:rsidRPr="00511561">
        <w:rPr>
          <w:rFonts w:cs="Times"/>
        </w:rPr>
        <w:t>, https://kpmg.com/de/en/home/insights/overview/economic-key-facts-germany.html#:~:text=With%20a%20gross%20domestic%20product,the%20largest%20economy%20in%20Europe. [https://perma.cc/F33B-VUZW] (stating that Germany is third largest economy in the world).</w:t>
      </w:r>
    </w:p>
  </w:footnote>
  <w:footnote w:id="196">
    <w:p w14:paraId="0BBE3292" w14:textId="00910488" w:rsidR="00511561" w:rsidRPr="00511561" w:rsidRDefault="00511561" w:rsidP="00511561">
      <w:pPr>
        <w:pStyle w:val="FootNote"/>
        <w:rPr>
          <w:rFonts w:cs="Times"/>
          <w:lang w:val="es-419"/>
        </w:rPr>
      </w:pPr>
      <w:r w:rsidRPr="00511561">
        <w:rPr>
          <w:rFonts w:cs="Times"/>
          <w:i/>
          <w:iCs/>
          <w:lang w:val="es-419"/>
        </w:rPr>
        <w:tab/>
      </w:r>
      <w:r w:rsidRPr="00511561">
        <w:rPr>
          <w:rStyle w:val="NoteRefInNote"/>
          <w:rFonts w:eastAsiaTheme="majorEastAsia"/>
        </w:rPr>
        <w:footnoteRef/>
      </w:r>
      <w:r w:rsidRPr="00511561">
        <w:rPr>
          <w:rFonts w:cs="Times"/>
          <w:i/>
          <w:iCs/>
          <w:lang w:val="es-419"/>
        </w:rPr>
        <w:tab/>
        <w:t>See</w:t>
      </w:r>
      <w:r w:rsidRPr="00511561">
        <w:rPr>
          <w:rFonts w:cs="Times"/>
          <w:lang w:val="es-419"/>
        </w:rPr>
        <w:t xml:space="preserve"> </w:t>
      </w:r>
      <w:r w:rsidRPr="00511561">
        <w:rPr>
          <w:rFonts w:cs="Times"/>
          <w:smallCaps/>
          <w:lang w:val="es-419"/>
        </w:rPr>
        <w:t>Al Jazeera</w:t>
      </w:r>
      <w:r w:rsidRPr="00511561">
        <w:rPr>
          <w:rFonts w:cs="Times"/>
          <w:lang w:val="es-419"/>
        </w:rPr>
        <w:t xml:space="preserve">, </w:t>
      </w:r>
      <w:r w:rsidRPr="00511561">
        <w:rPr>
          <w:rFonts w:cs="Times"/>
          <w:i/>
          <w:iCs/>
          <w:lang w:val="es-419"/>
        </w:rPr>
        <w:t>supra</w:t>
      </w:r>
      <w:r w:rsidRPr="00511561">
        <w:rPr>
          <w:rFonts w:cs="Times"/>
          <w:lang w:val="es-419"/>
        </w:rPr>
        <w:t xml:space="preserve"> note 184.</w:t>
      </w:r>
    </w:p>
  </w:footnote>
  <w:footnote w:id="197">
    <w:p w14:paraId="1AA6CA22" w14:textId="5CE138F0"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rPr>
        <w:t xml:space="preserve">Jochecova, </w:t>
      </w:r>
      <w:r w:rsidRPr="00511561">
        <w:rPr>
          <w:rFonts w:cs="Times"/>
          <w:i/>
          <w:iCs/>
        </w:rPr>
        <w:t>supra</w:t>
      </w:r>
      <w:r w:rsidRPr="00511561">
        <w:rPr>
          <w:rFonts w:cs="Times"/>
        </w:rPr>
        <w:t xml:space="preserve"> note 167.</w:t>
      </w:r>
    </w:p>
  </w:footnote>
  <w:footnote w:id="198">
    <w:p w14:paraId="0BA5393D" w14:textId="37727267" w:rsidR="00511561" w:rsidRPr="00511561" w:rsidRDefault="00511561" w:rsidP="00511561">
      <w:pPr>
        <w:pStyle w:val="FootNote"/>
        <w:rPr>
          <w:rFonts w:cs="Times"/>
        </w:rPr>
      </w:pPr>
      <w:r w:rsidRPr="00511561">
        <w:rPr>
          <w:rFonts w:cs="Times"/>
          <w:i/>
          <w:iCs/>
        </w:rPr>
        <w:tab/>
      </w:r>
      <w:r w:rsidRPr="00511561">
        <w:rPr>
          <w:rStyle w:val="NoteRefInNote"/>
          <w:rFonts w:eastAsiaTheme="majorEastAsia"/>
        </w:rPr>
        <w:footnoteRef/>
      </w:r>
      <w:r w:rsidRPr="00511561">
        <w:rPr>
          <w:rFonts w:cs="Times"/>
          <w:i/>
          <w:iCs/>
        </w:rPr>
        <w:tab/>
        <w:t xml:space="preserve">See </w:t>
      </w:r>
      <w:r w:rsidRPr="00511561">
        <w:rPr>
          <w:rFonts w:cs="Times"/>
          <w:smallCaps/>
        </w:rPr>
        <w:t>Reuters</w:t>
      </w:r>
      <w:r w:rsidRPr="00511561">
        <w:rPr>
          <w:rFonts w:cs="Times"/>
        </w:rPr>
        <w:t xml:space="preserve">, </w:t>
      </w:r>
      <w:r w:rsidRPr="00511561">
        <w:rPr>
          <w:rFonts w:cs="Times"/>
          <w:i/>
          <w:iCs/>
        </w:rPr>
        <w:t>supra</w:t>
      </w:r>
      <w:r w:rsidRPr="00511561">
        <w:rPr>
          <w:rFonts w:cs="Times"/>
        </w:rPr>
        <w:t xml:space="preserve"> note 165.</w:t>
      </w:r>
    </w:p>
  </w:footnote>
  <w:footnote w:id="199">
    <w:p w14:paraId="5C9193FF" w14:textId="3C5B3B19" w:rsidR="00511561" w:rsidRPr="00511561" w:rsidRDefault="00511561" w:rsidP="00511561">
      <w:pPr>
        <w:pStyle w:val="FootNote"/>
        <w:rPr>
          <w:rFonts w:cs="Times"/>
        </w:rPr>
      </w:pPr>
      <w:r w:rsidRPr="00511561">
        <w:rPr>
          <w:rFonts w:cs="Times"/>
        </w:rPr>
        <w:tab/>
      </w:r>
      <w:r w:rsidRPr="00511561">
        <w:rPr>
          <w:rStyle w:val="NoteRefInNote"/>
          <w:rFonts w:eastAsiaTheme="majorEastAsia"/>
        </w:rPr>
        <w:footnoteRef/>
      </w:r>
      <w:r w:rsidRPr="00511561">
        <w:rPr>
          <w:rFonts w:cs="Times"/>
        </w:rPr>
        <w:tab/>
        <w:t xml:space="preserve">The Statute, </w:t>
      </w:r>
      <w:r w:rsidRPr="00511561">
        <w:rPr>
          <w:rFonts w:cs="Times"/>
          <w:i/>
          <w:iCs/>
        </w:rPr>
        <w:t>supra</w:t>
      </w:r>
      <w:r w:rsidRPr="00511561">
        <w:rPr>
          <w:rFonts w:cs="Times"/>
        </w:rPr>
        <w:t xml:space="preserve"> note 2, at Preamble.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C3DC" w14:textId="22A89EE8" w:rsidR="00AE1294" w:rsidRPr="00AE1294" w:rsidRDefault="00AE1294" w:rsidP="00AE1294">
    <w:pPr>
      <w:pStyle w:val="LawHeaderEven"/>
    </w:pPr>
    <w:r>
      <w:fldChar w:fldCharType="begin"/>
    </w:r>
    <w:r>
      <w:instrText xml:space="preserve"> PAGE  \* MERGEFORMAT </w:instrText>
    </w:r>
    <w:r>
      <w:fldChar w:fldCharType="separate"/>
    </w:r>
    <w:r>
      <w:t>2</w:t>
    </w:r>
    <w:r>
      <w:fldChar w:fldCharType="end"/>
    </w:r>
    <w:r>
      <w:tab/>
    </w:r>
    <w:r>
      <w:rPr>
        <w:smallCaps/>
      </w:rPr>
      <w:t>N.C. J. Int'l L.</w:t>
    </w:r>
    <w:r>
      <w:tab/>
      <w:t>[Vol. LI]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FCB4" w14:textId="77777777" w:rsidR="00AE1294" w:rsidRDefault="00AE1294" w:rsidP="00AE1294">
    <w:pPr>
      <w:pStyle w:val="Header"/>
      <w:spacing w:before="720"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430"/>
    <w:multiLevelType w:val="hybridMultilevel"/>
    <w:tmpl w:val="82104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D57F7"/>
    <w:multiLevelType w:val="hybridMultilevel"/>
    <w:tmpl w:val="B5AE7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146D4"/>
    <w:multiLevelType w:val="hybridMultilevel"/>
    <w:tmpl w:val="C930CD96"/>
    <w:lvl w:ilvl="0" w:tplc="5C5A40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9249E"/>
    <w:multiLevelType w:val="hybridMultilevel"/>
    <w:tmpl w:val="DABE2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66BE3"/>
    <w:multiLevelType w:val="hybridMultilevel"/>
    <w:tmpl w:val="2E96766E"/>
    <w:lvl w:ilvl="0" w:tplc="9BCA2F4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9730E"/>
    <w:multiLevelType w:val="hybridMultilevel"/>
    <w:tmpl w:val="A9E8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C7AFC"/>
    <w:multiLevelType w:val="hybridMultilevel"/>
    <w:tmpl w:val="BFEE8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6073F8"/>
    <w:multiLevelType w:val="hybridMultilevel"/>
    <w:tmpl w:val="A400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D43FB"/>
    <w:multiLevelType w:val="hybridMultilevel"/>
    <w:tmpl w:val="5C106694"/>
    <w:lvl w:ilvl="0" w:tplc="8B06E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E2FCE"/>
    <w:multiLevelType w:val="hybridMultilevel"/>
    <w:tmpl w:val="37C85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7807215">
    <w:abstractNumId w:val="8"/>
  </w:num>
  <w:num w:numId="2" w16cid:durableId="700475357">
    <w:abstractNumId w:val="4"/>
  </w:num>
  <w:num w:numId="3" w16cid:durableId="1290866094">
    <w:abstractNumId w:val="1"/>
  </w:num>
  <w:num w:numId="4" w16cid:durableId="1385760937">
    <w:abstractNumId w:val="9"/>
  </w:num>
  <w:num w:numId="5" w16cid:durableId="1401177953">
    <w:abstractNumId w:val="3"/>
  </w:num>
  <w:num w:numId="6" w16cid:durableId="568074440">
    <w:abstractNumId w:val="5"/>
  </w:num>
  <w:num w:numId="7" w16cid:durableId="1366178786">
    <w:abstractNumId w:val="0"/>
  </w:num>
  <w:num w:numId="8" w16cid:durableId="262343689">
    <w:abstractNumId w:val="7"/>
  </w:num>
  <w:num w:numId="9" w16cid:durableId="798959623">
    <w:abstractNumId w:val="6"/>
  </w:num>
  <w:num w:numId="10" w16cid:durableId="899093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61"/>
    <w:rsid w:val="00024BB3"/>
    <w:rsid w:val="000911BD"/>
    <w:rsid w:val="000B1973"/>
    <w:rsid w:val="000C6AC3"/>
    <w:rsid w:val="001168F3"/>
    <w:rsid w:val="00122849"/>
    <w:rsid w:val="00142C5C"/>
    <w:rsid w:val="00143752"/>
    <w:rsid w:val="001707C1"/>
    <w:rsid w:val="001A1EB9"/>
    <w:rsid w:val="001A367D"/>
    <w:rsid w:val="001A5084"/>
    <w:rsid w:val="00206EA7"/>
    <w:rsid w:val="002228DC"/>
    <w:rsid w:val="00226979"/>
    <w:rsid w:val="00231C9A"/>
    <w:rsid w:val="00235426"/>
    <w:rsid w:val="00241955"/>
    <w:rsid w:val="002751AB"/>
    <w:rsid w:val="0027528F"/>
    <w:rsid w:val="00275BB0"/>
    <w:rsid w:val="002805A8"/>
    <w:rsid w:val="002A2B26"/>
    <w:rsid w:val="002B6585"/>
    <w:rsid w:val="002F0534"/>
    <w:rsid w:val="003044A1"/>
    <w:rsid w:val="00333C24"/>
    <w:rsid w:val="0036043B"/>
    <w:rsid w:val="0036776E"/>
    <w:rsid w:val="00380EE9"/>
    <w:rsid w:val="003B1AD8"/>
    <w:rsid w:val="003C6D43"/>
    <w:rsid w:val="00423F3A"/>
    <w:rsid w:val="0043197C"/>
    <w:rsid w:val="004622BC"/>
    <w:rsid w:val="00464E46"/>
    <w:rsid w:val="00487C76"/>
    <w:rsid w:val="00491D2E"/>
    <w:rsid w:val="00495E1D"/>
    <w:rsid w:val="004A722B"/>
    <w:rsid w:val="004E3B92"/>
    <w:rsid w:val="0050786A"/>
    <w:rsid w:val="005108DC"/>
    <w:rsid w:val="00511561"/>
    <w:rsid w:val="00543E88"/>
    <w:rsid w:val="005505BE"/>
    <w:rsid w:val="005572CC"/>
    <w:rsid w:val="005653B8"/>
    <w:rsid w:val="005A4516"/>
    <w:rsid w:val="005B4C18"/>
    <w:rsid w:val="005D6529"/>
    <w:rsid w:val="005F646E"/>
    <w:rsid w:val="006116CA"/>
    <w:rsid w:val="00630C58"/>
    <w:rsid w:val="00635E5A"/>
    <w:rsid w:val="006456BB"/>
    <w:rsid w:val="00665418"/>
    <w:rsid w:val="006A7860"/>
    <w:rsid w:val="006B7DA4"/>
    <w:rsid w:val="006C6A93"/>
    <w:rsid w:val="0071179A"/>
    <w:rsid w:val="007605AD"/>
    <w:rsid w:val="00773083"/>
    <w:rsid w:val="00780944"/>
    <w:rsid w:val="00780D3A"/>
    <w:rsid w:val="007849C4"/>
    <w:rsid w:val="007C15CF"/>
    <w:rsid w:val="007D143C"/>
    <w:rsid w:val="007D4E38"/>
    <w:rsid w:val="007F1910"/>
    <w:rsid w:val="007F6C21"/>
    <w:rsid w:val="00805C7E"/>
    <w:rsid w:val="0081150E"/>
    <w:rsid w:val="008433BD"/>
    <w:rsid w:val="0088223D"/>
    <w:rsid w:val="008A604C"/>
    <w:rsid w:val="008B02D9"/>
    <w:rsid w:val="008B10F7"/>
    <w:rsid w:val="008C009E"/>
    <w:rsid w:val="008E3EA7"/>
    <w:rsid w:val="0090321B"/>
    <w:rsid w:val="009071CE"/>
    <w:rsid w:val="009157FD"/>
    <w:rsid w:val="009270C7"/>
    <w:rsid w:val="00931429"/>
    <w:rsid w:val="009A7D11"/>
    <w:rsid w:val="009B3572"/>
    <w:rsid w:val="009C40AA"/>
    <w:rsid w:val="00A2123B"/>
    <w:rsid w:val="00A33AB2"/>
    <w:rsid w:val="00A4323A"/>
    <w:rsid w:val="00A7713F"/>
    <w:rsid w:val="00A81016"/>
    <w:rsid w:val="00AB1D72"/>
    <w:rsid w:val="00AD78A0"/>
    <w:rsid w:val="00AE1294"/>
    <w:rsid w:val="00AF19B6"/>
    <w:rsid w:val="00B2682D"/>
    <w:rsid w:val="00B64686"/>
    <w:rsid w:val="00B73EBB"/>
    <w:rsid w:val="00B75EA8"/>
    <w:rsid w:val="00B84DFA"/>
    <w:rsid w:val="00BA2136"/>
    <w:rsid w:val="00BB3807"/>
    <w:rsid w:val="00BD3E55"/>
    <w:rsid w:val="00BE26F9"/>
    <w:rsid w:val="00C0314A"/>
    <w:rsid w:val="00C0621C"/>
    <w:rsid w:val="00C0621E"/>
    <w:rsid w:val="00C106AF"/>
    <w:rsid w:val="00C146BE"/>
    <w:rsid w:val="00C16B8E"/>
    <w:rsid w:val="00C5333F"/>
    <w:rsid w:val="00C64E00"/>
    <w:rsid w:val="00C72A4E"/>
    <w:rsid w:val="00C94745"/>
    <w:rsid w:val="00CB6744"/>
    <w:rsid w:val="00CC2517"/>
    <w:rsid w:val="00CD6C07"/>
    <w:rsid w:val="00CE76A2"/>
    <w:rsid w:val="00D15B0C"/>
    <w:rsid w:val="00D22DF8"/>
    <w:rsid w:val="00D33FCD"/>
    <w:rsid w:val="00D56ADA"/>
    <w:rsid w:val="00D616BA"/>
    <w:rsid w:val="00D71BA4"/>
    <w:rsid w:val="00D8009E"/>
    <w:rsid w:val="00D830E3"/>
    <w:rsid w:val="00D945C7"/>
    <w:rsid w:val="00D95AA2"/>
    <w:rsid w:val="00DA0131"/>
    <w:rsid w:val="00DF1213"/>
    <w:rsid w:val="00EA2B66"/>
    <w:rsid w:val="00EC7972"/>
    <w:rsid w:val="00ED3305"/>
    <w:rsid w:val="00EE1C05"/>
    <w:rsid w:val="00EE708B"/>
    <w:rsid w:val="00F37018"/>
    <w:rsid w:val="00F42220"/>
    <w:rsid w:val="00F56AAB"/>
    <w:rsid w:val="00FB298B"/>
    <w:rsid w:val="00FC59BE"/>
    <w:rsid w:val="00FE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DCF7"/>
  <w15:chartTrackingRefBased/>
  <w15:docId w15:val="{12C9E18D-E4A9-49EC-9704-B19203C1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61"/>
  </w:style>
  <w:style w:type="paragraph" w:styleId="Heading1">
    <w:name w:val="heading 1"/>
    <w:basedOn w:val="Normal"/>
    <w:next w:val="Normal"/>
    <w:link w:val="Heading1Char"/>
    <w:uiPriority w:val="9"/>
    <w:qFormat/>
    <w:rsid w:val="00511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561"/>
    <w:rPr>
      <w:rFonts w:eastAsiaTheme="majorEastAsia" w:cstheme="majorBidi"/>
      <w:color w:val="272727" w:themeColor="text1" w:themeTint="D8"/>
    </w:rPr>
  </w:style>
  <w:style w:type="paragraph" w:styleId="Title">
    <w:name w:val="Title"/>
    <w:basedOn w:val="Normal"/>
    <w:next w:val="Normal"/>
    <w:link w:val="TitleChar"/>
    <w:uiPriority w:val="10"/>
    <w:qFormat/>
    <w:rsid w:val="00511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561"/>
    <w:pPr>
      <w:spacing w:before="160"/>
      <w:jc w:val="center"/>
    </w:pPr>
    <w:rPr>
      <w:i/>
      <w:iCs/>
      <w:color w:val="404040" w:themeColor="text1" w:themeTint="BF"/>
    </w:rPr>
  </w:style>
  <w:style w:type="character" w:customStyle="1" w:styleId="QuoteChar">
    <w:name w:val="Quote Char"/>
    <w:basedOn w:val="DefaultParagraphFont"/>
    <w:link w:val="Quote"/>
    <w:uiPriority w:val="29"/>
    <w:rsid w:val="00511561"/>
    <w:rPr>
      <w:i/>
      <w:iCs/>
      <w:color w:val="404040" w:themeColor="text1" w:themeTint="BF"/>
    </w:rPr>
  </w:style>
  <w:style w:type="paragraph" w:styleId="ListParagraph">
    <w:name w:val="List Paragraph"/>
    <w:basedOn w:val="Normal"/>
    <w:uiPriority w:val="34"/>
    <w:qFormat/>
    <w:rsid w:val="00511561"/>
    <w:pPr>
      <w:ind w:left="720"/>
      <w:contextualSpacing/>
    </w:pPr>
  </w:style>
  <w:style w:type="character" w:styleId="IntenseEmphasis">
    <w:name w:val="Intense Emphasis"/>
    <w:basedOn w:val="DefaultParagraphFont"/>
    <w:uiPriority w:val="21"/>
    <w:qFormat/>
    <w:rsid w:val="00511561"/>
    <w:rPr>
      <w:i/>
      <w:iCs/>
      <w:color w:val="0F4761" w:themeColor="accent1" w:themeShade="BF"/>
    </w:rPr>
  </w:style>
  <w:style w:type="paragraph" w:styleId="IntenseQuote">
    <w:name w:val="Intense Quote"/>
    <w:basedOn w:val="Normal"/>
    <w:next w:val="Normal"/>
    <w:link w:val="IntenseQuoteChar"/>
    <w:uiPriority w:val="30"/>
    <w:qFormat/>
    <w:rsid w:val="00511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561"/>
    <w:rPr>
      <w:i/>
      <w:iCs/>
      <w:color w:val="0F4761" w:themeColor="accent1" w:themeShade="BF"/>
    </w:rPr>
  </w:style>
  <w:style w:type="character" w:styleId="IntenseReference">
    <w:name w:val="Intense Reference"/>
    <w:basedOn w:val="DefaultParagraphFont"/>
    <w:uiPriority w:val="32"/>
    <w:qFormat/>
    <w:rsid w:val="00511561"/>
    <w:rPr>
      <w:b/>
      <w:bCs/>
      <w:smallCaps/>
      <w:color w:val="0F4761" w:themeColor="accent1" w:themeShade="BF"/>
      <w:spacing w:val="5"/>
    </w:rPr>
  </w:style>
  <w:style w:type="paragraph" w:styleId="FootnoteText">
    <w:name w:val="footnote text"/>
    <w:basedOn w:val="Normal"/>
    <w:link w:val="FootnoteTextChar"/>
    <w:uiPriority w:val="99"/>
    <w:semiHidden/>
    <w:unhideWhenUsed/>
    <w:rsid w:val="005115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561"/>
    <w:rPr>
      <w:sz w:val="20"/>
      <w:szCs w:val="20"/>
    </w:rPr>
  </w:style>
  <w:style w:type="character" w:styleId="FootnoteReference">
    <w:name w:val="footnote reference"/>
    <w:basedOn w:val="DefaultParagraphFont"/>
    <w:uiPriority w:val="99"/>
    <w:semiHidden/>
    <w:unhideWhenUsed/>
    <w:rsid w:val="00511561"/>
    <w:rPr>
      <w:vertAlign w:val="superscript"/>
    </w:rPr>
  </w:style>
  <w:style w:type="character" w:styleId="Hyperlink">
    <w:name w:val="Hyperlink"/>
    <w:basedOn w:val="DefaultParagraphFont"/>
    <w:uiPriority w:val="99"/>
    <w:unhideWhenUsed/>
    <w:rsid w:val="00511561"/>
    <w:rPr>
      <w:color w:val="467886" w:themeColor="hyperlink"/>
      <w:u w:val="single"/>
    </w:rPr>
  </w:style>
  <w:style w:type="character" w:styleId="UnresolvedMention">
    <w:name w:val="Unresolved Mention"/>
    <w:basedOn w:val="DefaultParagraphFont"/>
    <w:uiPriority w:val="99"/>
    <w:semiHidden/>
    <w:unhideWhenUsed/>
    <w:rsid w:val="00511561"/>
    <w:rPr>
      <w:color w:val="605E5C"/>
      <w:shd w:val="clear" w:color="auto" w:fill="E1DFDD"/>
    </w:rPr>
  </w:style>
  <w:style w:type="character" w:styleId="CommentReference">
    <w:name w:val="annotation reference"/>
    <w:basedOn w:val="DefaultParagraphFont"/>
    <w:uiPriority w:val="99"/>
    <w:semiHidden/>
    <w:unhideWhenUsed/>
    <w:rsid w:val="00511561"/>
    <w:rPr>
      <w:sz w:val="16"/>
      <w:szCs w:val="16"/>
    </w:rPr>
  </w:style>
  <w:style w:type="paragraph" w:styleId="CommentText">
    <w:name w:val="annotation text"/>
    <w:basedOn w:val="Normal"/>
    <w:link w:val="CommentTextChar"/>
    <w:uiPriority w:val="99"/>
    <w:unhideWhenUsed/>
    <w:rsid w:val="00511561"/>
    <w:pPr>
      <w:spacing w:line="240" w:lineRule="auto"/>
    </w:pPr>
    <w:rPr>
      <w:sz w:val="20"/>
      <w:szCs w:val="20"/>
    </w:rPr>
  </w:style>
  <w:style w:type="character" w:customStyle="1" w:styleId="CommentTextChar">
    <w:name w:val="Comment Text Char"/>
    <w:basedOn w:val="DefaultParagraphFont"/>
    <w:link w:val="CommentText"/>
    <w:uiPriority w:val="99"/>
    <w:rsid w:val="00511561"/>
    <w:rPr>
      <w:sz w:val="20"/>
      <w:szCs w:val="20"/>
    </w:rPr>
  </w:style>
  <w:style w:type="paragraph" w:styleId="CommentSubject">
    <w:name w:val="annotation subject"/>
    <w:basedOn w:val="CommentText"/>
    <w:next w:val="CommentText"/>
    <w:link w:val="CommentSubjectChar"/>
    <w:uiPriority w:val="99"/>
    <w:semiHidden/>
    <w:unhideWhenUsed/>
    <w:rsid w:val="00511561"/>
    <w:rPr>
      <w:b/>
      <w:bCs/>
    </w:rPr>
  </w:style>
  <w:style w:type="character" w:customStyle="1" w:styleId="CommentSubjectChar">
    <w:name w:val="Comment Subject Char"/>
    <w:basedOn w:val="CommentTextChar"/>
    <w:link w:val="CommentSubject"/>
    <w:uiPriority w:val="99"/>
    <w:semiHidden/>
    <w:rsid w:val="00511561"/>
    <w:rPr>
      <w:b/>
      <w:bCs/>
      <w:sz w:val="20"/>
      <w:szCs w:val="20"/>
    </w:rPr>
  </w:style>
  <w:style w:type="character" w:customStyle="1" w:styleId="normaltextrun">
    <w:name w:val="normaltextrun"/>
    <w:basedOn w:val="DefaultParagraphFont"/>
    <w:rsid w:val="00511561"/>
  </w:style>
  <w:style w:type="paragraph" w:styleId="Revision">
    <w:name w:val="Revision"/>
    <w:hidden/>
    <w:uiPriority w:val="99"/>
    <w:semiHidden/>
    <w:rsid w:val="00511561"/>
    <w:pPr>
      <w:spacing w:after="0" w:line="240" w:lineRule="auto"/>
    </w:pPr>
  </w:style>
  <w:style w:type="character" w:styleId="FollowedHyperlink">
    <w:name w:val="FollowedHyperlink"/>
    <w:basedOn w:val="DefaultParagraphFont"/>
    <w:uiPriority w:val="99"/>
    <w:semiHidden/>
    <w:unhideWhenUsed/>
    <w:rsid w:val="00511561"/>
    <w:rPr>
      <w:color w:val="96607D" w:themeColor="followedHyperlink"/>
      <w:u w:val="single"/>
    </w:rPr>
  </w:style>
  <w:style w:type="paragraph" w:styleId="EndnoteText">
    <w:name w:val="endnote text"/>
    <w:basedOn w:val="Normal"/>
    <w:link w:val="EndnoteTextChar"/>
    <w:uiPriority w:val="99"/>
    <w:semiHidden/>
    <w:unhideWhenUsed/>
    <w:rsid w:val="005115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561"/>
    <w:rPr>
      <w:sz w:val="20"/>
      <w:szCs w:val="20"/>
    </w:rPr>
  </w:style>
  <w:style w:type="character" w:styleId="EndnoteReference">
    <w:name w:val="endnote reference"/>
    <w:basedOn w:val="DefaultParagraphFont"/>
    <w:uiPriority w:val="99"/>
    <w:semiHidden/>
    <w:unhideWhenUsed/>
    <w:rsid w:val="00511561"/>
    <w:rPr>
      <w:vertAlign w:val="superscript"/>
    </w:rPr>
  </w:style>
  <w:style w:type="paragraph" w:customStyle="1" w:styleId="Journalfont">
    <w:name w:val="_Journal font"/>
    <w:qFormat/>
    <w:rsid w:val="00511561"/>
    <w:pPr>
      <w:widowControl w:val="0"/>
      <w:suppressLineNumbers/>
      <w:spacing w:after="0" w:line="280" w:lineRule="exact"/>
      <w:jc w:val="both"/>
    </w:pPr>
    <w:rPr>
      <w:rFonts w:ascii="Times" w:eastAsia="Times New Roman" w:hAnsi="Times" w:cs="Times New Roman"/>
      <w:noProof/>
      <w:kern w:val="0"/>
      <w:szCs w:val="20"/>
      <w14:ligatures w14:val="none"/>
    </w:rPr>
  </w:style>
  <w:style w:type="paragraph" w:customStyle="1" w:styleId="Document">
    <w:name w:val="_Document"/>
    <w:basedOn w:val="Journalfont"/>
    <w:qFormat/>
    <w:rsid w:val="00511561"/>
    <w:pPr>
      <w:spacing w:before="20" w:line="270" w:lineRule="exact"/>
      <w:ind w:firstLine="360"/>
    </w:pPr>
    <w:rPr>
      <w:noProof w:val="0"/>
    </w:rPr>
  </w:style>
  <w:style w:type="paragraph" w:customStyle="1" w:styleId="FootNote">
    <w:name w:val="_FootNote"/>
    <w:basedOn w:val="Journalfont"/>
    <w:qFormat/>
    <w:rsid w:val="00511561"/>
    <w:pPr>
      <w:tabs>
        <w:tab w:val="right" w:pos="475"/>
        <w:tab w:val="left" w:pos="576"/>
      </w:tabs>
      <w:spacing w:before="20" w:after="40" w:line="220" w:lineRule="exact"/>
    </w:pPr>
    <w:rPr>
      <w:noProof w:val="0"/>
      <w:sz w:val="18"/>
    </w:rPr>
  </w:style>
  <w:style w:type="paragraph" w:customStyle="1" w:styleId="FootNotePara">
    <w:name w:val="_FootNotePara"/>
    <w:basedOn w:val="FootNote"/>
    <w:qFormat/>
    <w:rsid w:val="00511561"/>
    <w:pPr>
      <w:tabs>
        <w:tab w:val="clear" w:pos="475"/>
        <w:tab w:val="clear" w:pos="576"/>
      </w:tabs>
      <w:ind w:firstLine="317"/>
    </w:pPr>
  </w:style>
  <w:style w:type="paragraph" w:customStyle="1" w:styleId="1stBlockQuoteTXT">
    <w:name w:val="_1st_BlockQuote_TXT"/>
    <w:basedOn w:val="Journalfont"/>
    <w:next w:val="Document"/>
    <w:qFormat/>
    <w:rsid w:val="00511561"/>
    <w:pPr>
      <w:tabs>
        <w:tab w:val="left" w:pos="418"/>
        <w:tab w:val="left" w:pos="619"/>
      </w:tabs>
      <w:spacing w:before="40" w:after="20" w:line="260" w:lineRule="exact"/>
      <w:ind w:left="360" w:right="360"/>
    </w:pPr>
    <w:rPr>
      <w:noProof w:val="0"/>
      <w:sz w:val="22"/>
    </w:rPr>
  </w:style>
  <w:style w:type="paragraph" w:customStyle="1" w:styleId="1stBlockQuoteFN">
    <w:name w:val="_1st_BlockQuote_FN"/>
    <w:basedOn w:val="FootNote"/>
    <w:next w:val="FootNote"/>
    <w:qFormat/>
    <w:rsid w:val="00511561"/>
    <w:pPr>
      <w:ind w:left="317" w:right="317"/>
    </w:pPr>
  </w:style>
  <w:style w:type="paragraph" w:customStyle="1" w:styleId="2ndBlockQuoteTXT">
    <w:name w:val="_2nd_BlockQuote_TXT"/>
    <w:basedOn w:val="Journalfont"/>
    <w:next w:val="Document"/>
    <w:qFormat/>
    <w:rsid w:val="00511561"/>
    <w:pPr>
      <w:tabs>
        <w:tab w:val="left" w:pos="420"/>
        <w:tab w:val="left" w:pos="620"/>
      </w:tabs>
      <w:spacing w:before="40" w:after="20" w:line="260" w:lineRule="exact"/>
      <w:ind w:left="720" w:right="360"/>
    </w:pPr>
    <w:rPr>
      <w:noProof w:val="0"/>
      <w:sz w:val="22"/>
    </w:rPr>
  </w:style>
  <w:style w:type="paragraph" w:customStyle="1" w:styleId="2ndBlockQuoteFN">
    <w:name w:val="_2nd_BlockQuote_FN"/>
    <w:basedOn w:val="FootNote"/>
    <w:next w:val="FootNote"/>
    <w:qFormat/>
    <w:rsid w:val="00511561"/>
    <w:pPr>
      <w:tabs>
        <w:tab w:val="clear" w:pos="475"/>
        <w:tab w:val="clear" w:pos="576"/>
        <w:tab w:val="right" w:pos="480"/>
        <w:tab w:val="left" w:pos="580"/>
      </w:tabs>
      <w:ind w:left="634" w:right="317"/>
    </w:pPr>
  </w:style>
  <w:style w:type="paragraph" w:customStyle="1" w:styleId="ArticleTitle">
    <w:name w:val="_ArticleTitle"/>
    <w:basedOn w:val="Journalfont"/>
    <w:next w:val="Document"/>
    <w:qFormat/>
    <w:rsid w:val="00511561"/>
    <w:pPr>
      <w:keepNext/>
      <w:suppressAutoHyphens/>
      <w:spacing w:after="280" w:line="320" w:lineRule="exact"/>
      <w:jc w:val="center"/>
    </w:pPr>
    <w:rPr>
      <w:b/>
      <w:sz w:val="28"/>
    </w:rPr>
  </w:style>
  <w:style w:type="paragraph" w:customStyle="1" w:styleId="AuthorName1">
    <w:name w:val="_AuthorName1"/>
    <w:basedOn w:val="Journalfont"/>
    <w:next w:val="Document"/>
    <w:qFormat/>
    <w:rsid w:val="00511561"/>
    <w:pPr>
      <w:keepNext/>
      <w:suppressAutoHyphens/>
      <w:spacing w:before="240" w:after="240"/>
      <w:jc w:val="center"/>
    </w:pPr>
    <w:rPr>
      <w:i/>
    </w:rPr>
  </w:style>
  <w:style w:type="paragraph" w:customStyle="1" w:styleId="AuthorName2">
    <w:name w:val="_AuthorName2"/>
    <w:basedOn w:val="Journalfont"/>
    <w:next w:val="Normal"/>
    <w:qFormat/>
    <w:rsid w:val="00511561"/>
    <w:pPr>
      <w:keepNext/>
      <w:suppressAutoHyphens/>
      <w:spacing w:before="280" w:after="280" w:line="210" w:lineRule="exact"/>
      <w:jc w:val="right"/>
    </w:pPr>
    <w:rPr>
      <w:smallCaps/>
    </w:rPr>
  </w:style>
  <w:style w:type="paragraph" w:customStyle="1" w:styleId="Head1">
    <w:name w:val="_Head1"/>
    <w:basedOn w:val="Journalfont"/>
    <w:next w:val="Document"/>
    <w:qFormat/>
    <w:rsid w:val="00511561"/>
    <w:pPr>
      <w:keepNext/>
      <w:tabs>
        <w:tab w:val="left" w:pos="360"/>
      </w:tabs>
      <w:suppressAutoHyphens/>
      <w:spacing w:before="200" w:after="80"/>
      <w:ind w:left="360" w:hanging="360"/>
      <w:jc w:val="left"/>
    </w:pPr>
    <w:rPr>
      <w:b/>
    </w:rPr>
  </w:style>
  <w:style w:type="paragraph" w:customStyle="1" w:styleId="Head2">
    <w:name w:val="_Head2"/>
    <w:basedOn w:val="Journalfont"/>
    <w:next w:val="Document"/>
    <w:qFormat/>
    <w:rsid w:val="00511561"/>
    <w:pPr>
      <w:keepNext/>
      <w:tabs>
        <w:tab w:val="left" w:pos="780"/>
      </w:tabs>
      <w:suppressAutoHyphens/>
      <w:spacing w:before="200" w:after="80"/>
      <w:ind w:left="780" w:hanging="360"/>
      <w:jc w:val="left"/>
    </w:pPr>
    <w:rPr>
      <w:i/>
    </w:rPr>
  </w:style>
  <w:style w:type="paragraph" w:customStyle="1" w:styleId="Head3">
    <w:name w:val="_Head3"/>
    <w:basedOn w:val="Journalfont"/>
    <w:next w:val="Document"/>
    <w:qFormat/>
    <w:rsid w:val="00511561"/>
    <w:pPr>
      <w:keepNext/>
      <w:tabs>
        <w:tab w:val="left" w:pos="1200"/>
      </w:tabs>
      <w:suppressAutoHyphens/>
      <w:spacing w:before="200" w:after="80"/>
      <w:ind w:left="1200" w:hanging="360"/>
      <w:jc w:val="left"/>
    </w:pPr>
    <w:rPr>
      <w:i/>
    </w:rPr>
  </w:style>
  <w:style w:type="paragraph" w:customStyle="1" w:styleId="Head4">
    <w:name w:val="_Head4"/>
    <w:basedOn w:val="Journalfont"/>
    <w:next w:val="Document"/>
    <w:qFormat/>
    <w:rsid w:val="00511561"/>
    <w:pPr>
      <w:keepNext/>
      <w:tabs>
        <w:tab w:val="left" w:pos="1620"/>
      </w:tabs>
      <w:suppressAutoHyphens/>
      <w:spacing w:before="200" w:after="80"/>
      <w:ind w:left="1560" w:hanging="360"/>
      <w:jc w:val="left"/>
    </w:pPr>
    <w:rPr>
      <w:i/>
    </w:rPr>
  </w:style>
  <w:style w:type="paragraph" w:customStyle="1" w:styleId="Head5">
    <w:name w:val="_Head5"/>
    <w:basedOn w:val="Journalfont"/>
    <w:next w:val="Document"/>
    <w:qFormat/>
    <w:rsid w:val="00511561"/>
    <w:pPr>
      <w:keepNext/>
      <w:tabs>
        <w:tab w:val="left" w:pos="2080"/>
      </w:tabs>
      <w:suppressAutoHyphens/>
      <w:spacing w:before="200" w:after="80"/>
      <w:ind w:left="2040" w:hanging="360"/>
      <w:jc w:val="left"/>
    </w:pPr>
    <w:rPr>
      <w:i/>
    </w:rPr>
  </w:style>
  <w:style w:type="character" w:customStyle="1" w:styleId="NoteRefInNote">
    <w:name w:val="_NoteRefInNote"/>
    <w:basedOn w:val="DefaultParagraphFont"/>
    <w:qFormat/>
    <w:rsid w:val="00511561"/>
    <w:rPr>
      <w:rFonts w:ascii="Times New Roman" w:hAnsi="Times New Roman"/>
      <w:dstrike w:val="0"/>
      <w:position w:val="-6"/>
      <w:sz w:val="21"/>
      <w:szCs w:val="21"/>
      <w:vertAlign w:val="superscript"/>
    </w:rPr>
  </w:style>
  <w:style w:type="character" w:customStyle="1" w:styleId="NoteRefInText">
    <w:name w:val="_NoteRefInText"/>
    <w:basedOn w:val="DefaultParagraphFont"/>
    <w:qFormat/>
    <w:rsid w:val="00511561"/>
    <w:rPr>
      <w:rFonts w:ascii="Times New Roman" w:hAnsi="Times New Roman"/>
      <w:dstrike w:val="0"/>
      <w:sz w:val="21"/>
      <w:szCs w:val="21"/>
      <w:vertAlign w:val="superscript"/>
    </w:rPr>
  </w:style>
  <w:style w:type="paragraph" w:customStyle="1" w:styleId="LawHeaderOdd">
    <w:name w:val="_LawHeaderOdd"/>
    <w:basedOn w:val="Journalfont"/>
    <w:rsid w:val="00511561"/>
    <w:pPr>
      <w:tabs>
        <w:tab w:val="center" w:pos="3182"/>
        <w:tab w:val="right" w:pos="6480"/>
      </w:tabs>
      <w:spacing w:before="720" w:after="240" w:line="240" w:lineRule="exact"/>
    </w:pPr>
    <w:rPr>
      <w:rFonts w:ascii="Times New Roman" w:hAnsi="Times New Roman"/>
      <w:sz w:val="21"/>
    </w:rPr>
  </w:style>
  <w:style w:type="paragraph" w:customStyle="1" w:styleId="LawHeaderEven">
    <w:name w:val="_LawHeaderEven"/>
    <w:basedOn w:val="LawHeaderOdd"/>
    <w:qFormat/>
    <w:rsid w:val="00511561"/>
  </w:style>
  <w:style w:type="paragraph" w:customStyle="1" w:styleId="toc1">
    <w:name w:val="_toc1"/>
    <w:basedOn w:val="Document"/>
    <w:next w:val="Document"/>
    <w:qFormat/>
    <w:rsid w:val="00511561"/>
    <w:pPr>
      <w:widowControl/>
      <w:tabs>
        <w:tab w:val="right" w:pos="440"/>
        <w:tab w:val="left" w:pos="600"/>
        <w:tab w:val="right" w:leader="dot" w:pos="6480"/>
      </w:tabs>
      <w:spacing w:before="0"/>
      <w:ind w:left="600" w:right="440" w:hanging="600"/>
      <w:jc w:val="left"/>
    </w:pPr>
  </w:style>
  <w:style w:type="paragraph" w:styleId="TOC10">
    <w:name w:val="toc 1"/>
    <w:basedOn w:val="toc1"/>
    <w:next w:val="Journalfont"/>
    <w:uiPriority w:val="39"/>
    <w:rsid w:val="00511561"/>
  </w:style>
  <w:style w:type="paragraph" w:customStyle="1" w:styleId="toc2">
    <w:name w:val="_toc2"/>
    <w:basedOn w:val="Document"/>
    <w:next w:val="Document"/>
    <w:qFormat/>
    <w:rsid w:val="00511561"/>
    <w:pPr>
      <w:widowControl/>
      <w:tabs>
        <w:tab w:val="left" w:pos="400"/>
        <w:tab w:val="right" w:leader="dot" w:pos="6480"/>
      </w:tabs>
      <w:spacing w:before="0"/>
      <w:ind w:left="1000" w:right="440" w:hanging="400"/>
      <w:jc w:val="left"/>
    </w:pPr>
  </w:style>
  <w:style w:type="paragraph" w:styleId="TOC20">
    <w:name w:val="toc 2"/>
    <w:basedOn w:val="toc2"/>
    <w:next w:val="Journalfont"/>
    <w:uiPriority w:val="39"/>
    <w:rsid w:val="00511561"/>
    <w:pPr>
      <w:ind w:left="1008" w:right="446" w:hanging="403"/>
    </w:pPr>
  </w:style>
  <w:style w:type="paragraph" w:customStyle="1" w:styleId="toc3">
    <w:name w:val="_toc3"/>
    <w:basedOn w:val="Document"/>
    <w:next w:val="Document"/>
    <w:qFormat/>
    <w:rsid w:val="00511561"/>
    <w:pPr>
      <w:widowControl/>
      <w:tabs>
        <w:tab w:val="left" w:pos="320"/>
        <w:tab w:val="right" w:leader="dot" w:pos="6480"/>
      </w:tabs>
      <w:spacing w:before="0" w:line="220" w:lineRule="exact"/>
      <w:ind w:left="1320" w:right="440" w:hanging="320"/>
      <w:jc w:val="left"/>
    </w:pPr>
  </w:style>
  <w:style w:type="paragraph" w:styleId="TOC30">
    <w:name w:val="toc 3"/>
    <w:basedOn w:val="toc3"/>
    <w:next w:val="Journalfont"/>
    <w:uiPriority w:val="39"/>
    <w:rsid w:val="00511561"/>
    <w:pPr>
      <w:ind w:right="446"/>
    </w:pPr>
  </w:style>
  <w:style w:type="paragraph" w:customStyle="1" w:styleId="toc4">
    <w:name w:val="_toc4"/>
    <w:basedOn w:val="Document"/>
    <w:next w:val="Document"/>
    <w:qFormat/>
    <w:rsid w:val="00511561"/>
    <w:pPr>
      <w:widowControl/>
      <w:tabs>
        <w:tab w:val="left" w:pos="360"/>
        <w:tab w:val="right" w:leader="dot" w:pos="6480"/>
      </w:tabs>
      <w:spacing w:before="0"/>
      <w:ind w:left="1680" w:right="440" w:hanging="360"/>
      <w:jc w:val="left"/>
    </w:pPr>
  </w:style>
  <w:style w:type="paragraph" w:styleId="TOC40">
    <w:name w:val="toc 4"/>
    <w:basedOn w:val="toc4"/>
    <w:next w:val="Journalfont"/>
    <w:uiPriority w:val="39"/>
    <w:rsid w:val="00511561"/>
    <w:pPr>
      <w:ind w:right="446"/>
    </w:pPr>
  </w:style>
  <w:style w:type="paragraph" w:customStyle="1" w:styleId="toc5">
    <w:name w:val="_toc5"/>
    <w:basedOn w:val="Document"/>
    <w:next w:val="Document"/>
    <w:qFormat/>
    <w:rsid w:val="00511561"/>
    <w:pPr>
      <w:widowControl/>
      <w:tabs>
        <w:tab w:val="right" w:pos="360"/>
        <w:tab w:val="right" w:leader="dot" w:pos="6480"/>
      </w:tabs>
      <w:spacing w:before="0"/>
      <w:ind w:left="2040" w:right="440" w:hanging="360"/>
      <w:jc w:val="left"/>
    </w:pPr>
  </w:style>
  <w:style w:type="paragraph" w:styleId="TOC50">
    <w:name w:val="toc 5"/>
    <w:basedOn w:val="toc5"/>
    <w:next w:val="Journalfont"/>
    <w:uiPriority w:val="39"/>
    <w:rsid w:val="00511561"/>
    <w:pPr>
      <w:ind w:left="2045" w:right="446"/>
    </w:pPr>
  </w:style>
  <w:style w:type="paragraph" w:customStyle="1" w:styleId="FootnoteSeparator">
    <w:name w:val="_FootnoteSeparator"/>
    <w:basedOn w:val="Journalfont"/>
    <w:rsid w:val="00511561"/>
    <w:pPr>
      <w:pBdr>
        <w:bottom w:val="single" w:sz="6" w:space="1" w:color="000000" w:themeColor="text1"/>
      </w:pBdr>
      <w:spacing w:after="160" w:line="240" w:lineRule="auto"/>
    </w:pPr>
    <w:rPr>
      <w:sz w:val="20"/>
    </w:rPr>
  </w:style>
  <w:style w:type="paragraph" w:styleId="Footer">
    <w:name w:val="footer"/>
    <w:basedOn w:val="Normal"/>
    <w:link w:val="FooterChar"/>
    <w:uiPriority w:val="99"/>
    <w:unhideWhenUsed/>
    <w:rsid w:val="00511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561"/>
  </w:style>
  <w:style w:type="paragraph" w:styleId="Header">
    <w:name w:val="header"/>
    <w:basedOn w:val="Normal"/>
    <w:link w:val="HeaderChar"/>
    <w:uiPriority w:val="99"/>
    <w:unhideWhenUsed/>
    <w:rsid w:val="00AE1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294"/>
  </w:style>
  <w:style w:type="paragraph" w:styleId="TOC6">
    <w:name w:val="toc 6"/>
    <w:basedOn w:val="Normal"/>
    <w:next w:val="Normal"/>
    <w:autoRedefine/>
    <w:uiPriority w:val="39"/>
    <w:semiHidden/>
    <w:unhideWhenUsed/>
    <w:rsid w:val="00CC2517"/>
    <w:pPr>
      <w:spacing w:after="100"/>
      <w:ind w:left="1200"/>
    </w:pPr>
  </w:style>
  <w:style w:type="paragraph" w:styleId="TOC7">
    <w:name w:val="toc 7"/>
    <w:basedOn w:val="Normal"/>
    <w:next w:val="Normal"/>
    <w:autoRedefine/>
    <w:uiPriority w:val="39"/>
    <w:semiHidden/>
    <w:unhideWhenUsed/>
    <w:rsid w:val="00CC2517"/>
    <w:pPr>
      <w:spacing w:after="100"/>
      <w:ind w:left="1440"/>
    </w:pPr>
  </w:style>
  <w:style w:type="paragraph" w:styleId="TOC8">
    <w:name w:val="toc 8"/>
    <w:basedOn w:val="Normal"/>
    <w:next w:val="Normal"/>
    <w:autoRedefine/>
    <w:uiPriority w:val="39"/>
    <w:semiHidden/>
    <w:unhideWhenUsed/>
    <w:rsid w:val="00CC2517"/>
    <w:pPr>
      <w:spacing w:after="100"/>
      <w:ind w:left="1680"/>
    </w:pPr>
  </w:style>
  <w:style w:type="paragraph" w:styleId="TOC9">
    <w:name w:val="toc 9"/>
    <w:basedOn w:val="Normal"/>
    <w:next w:val="Normal"/>
    <w:autoRedefine/>
    <w:uiPriority w:val="39"/>
    <w:semiHidden/>
    <w:unhideWhenUsed/>
    <w:rsid w:val="00CC2517"/>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54EA-3B71-4878-8E42-C993A1AE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9035</Words>
  <Characters>51506</Characters>
  <Application>Microsoft Office Word</Application>
  <DocSecurity>0</DocSecurity>
  <Lines>429</Lines>
  <Paragraphs>120</Paragraphs>
  <ScaleCrop>false</ScaleCrop>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Jackson Macgregor</dc:creator>
  <cp:keywords/>
  <dc:description/>
  <cp:lastModifiedBy>jmweb</cp:lastModifiedBy>
  <cp:revision>8</cp:revision>
  <dcterms:created xsi:type="dcterms:W3CDTF">2026-04-02T18:03:00Z</dcterms:created>
  <dcterms:modified xsi:type="dcterms:W3CDTF">2026-04-09T11:52:00Z</dcterms:modified>
</cp:coreProperties>
</file>