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57BCDF55" w:rsidR="005D3B87" w:rsidRDefault="00000000" w:rsidP="00956011">
      <w:pPr>
        <w:spacing w:line="480" w:lineRule="auto"/>
        <w:jc w:val="center"/>
        <w:rPr>
          <w:b/>
        </w:rPr>
      </w:pPr>
      <w:r>
        <w:rPr>
          <w:b/>
        </w:rPr>
        <w:t>The Hague Convention on Child Abduction: Impacts on Mothers Fleeing Domestic</w:t>
      </w:r>
      <w:r w:rsidR="00956011">
        <w:rPr>
          <w:b/>
        </w:rPr>
        <w:t xml:space="preserve"> </w:t>
      </w:r>
      <w:r>
        <w:rPr>
          <w:b/>
        </w:rPr>
        <w:t xml:space="preserve">Violence </w:t>
      </w:r>
    </w:p>
    <w:p w14:paraId="00000003" w14:textId="49AF0D08" w:rsidR="005D3B87" w:rsidRDefault="00000000">
      <w:pPr>
        <w:spacing w:line="480" w:lineRule="auto"/>
        <w:jc w:val="center"/>
      </w:pPr>
      <w:r>
        <w:t>Virginia Popov</w:t>
      </w:r>
    </w:p>
    <w:p w14:paraId="00000006" w14:textId="28D6E8BA" w:rsidR="00956011" w:rsidRDefault="0059392C" w:rsidP="0059392C">
      <w:pPr>
        <w:spacing w:line="480" w:lineRule="auto"/>
        <w:jc w:val="center"/>
        <w:rPr>
          <w:b/>
        </w:rPr>
      </w:pPr>
      <w:r>
        <w:rPr>
          <w:b/>
          <w:bCs/>
          <w:noProof/>
          <w:color w:val="000000"/>
          <w:bdr w:val="none" w:sz="0" w:space="0" w:color="auto" w:frame="1"/>
        </w:rPr>
        <w:drawing>
          <wp:inline distT="0" distB="0" distL="0" distR="0" wp14:anchorId="4EE1A091" wp14:editId="1DD78E5F">
            <wp:extent cx="5605780" cy="3472543"/>
            <wp:effectExtent l="0" t="0" r="0" b="0"/>
            <wp:docPr id="27541089" name="Picture 1" descr="A person and child standing in front of an airpl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41089" name="Picture 1" descr="A person and child standing in front of an airplane&#10;&#10;AI-generated content may be incorrect."/>
                    <pic:cNvPicPr>
                      <a:picLocks noChangeAspect="1" noChangeArrowheads="1"/>
                    </pic:cNvPicPr>
                  </pic:nvPicPr>
                  <pic:blipFill rotWithShape="1">
                    <a:blip r:embed="rId8">
                      <a:extLst>
                        <a:ext uri="{28A0092B-C50C-407E-A947-70E740481C1C}">
                          <a14:useLocalDpi xmlns:a14="http://schemas.microsoft.com/office/drawing/2010/main" val="0"/>
                        </a:ext>
                      </a:extLst>
                    </a:blip>
                    <a:srcRect l="1406" t="8733" b="13756"/>
                    <a:stretch>
                      <a:fillRect/>
                    </a:stretch>
                  </pic:blipFill>
                  <pic:spPr bwMode="auto">
                    <a:xfrm>
                      <a:off x="0" y="0"/>
                      <a:ext cx="5640913" cy="3494306"/>
                    </a:xfrm>
                    <a:prstGeom prst="rect">
                      <a:avLst/>
                    </a:prstGeom>
                    <a:noFill/>
                    <a:ln>
                      <a:noFill/>
                    </a:ln>
                    <a:extLst>
                      <a:ext uri="{53640926-AAD7-44D8-BBD7-CCE9431645EC}">
                        <a14:shadowObscured xmlns:a14="http://schemas.microsoft.com/office/drawing/2010/main"/>
                      </a:ext>
                    </a:extLst>
                  </pic:spPr>
                </pic:pic>
              </a:graphicData>
            </a:graphic>
          </wp:inline>
        </w:drawing>
      </w:r>
      <w:r w:rsidR="00956011">
        <w:rPr>
          <w:rStyle w:val="EndnoteReference"/>
          <w:b/>
        </w:rPr>
        <w:endnoteReference w:id="1"/>
      </w:r>
    </w:p>
    <w:p w14:paraId="00000007" w14:textId="31C70E0B" w:rsidR="00956011" w:rsidRPr="00A46F34" w:rsidRDefault="00956011" w:rsidP="00A46F34">
      <w:pPr>
        <w:pStyle w:val="ListParagraph"/>
        <w:numPr>
          <w:ilvl w:val="0"/>
          <w:numId w:val="2"/>
        </w:numPr>
        <w:spacing w:line="480" w:lineRule="auto"/>
        <w:rPr>
          <w:b/>
        </w:rPr>
      </w:pPr>
      <w:r w:rsidRPr="00A46F34">
        <w:rPr>
          <w:b/>
        </w:rPr>
        <w:t>Introduction</w:t>
      </w:r>
    </w:p>
    <w:p w14:paraId="00000009" w14:textId="56E313DE" w:rsidR="00956011" w:rsidRDefault="00956011">
      <w:pPr>
        <w:spacing w:line="480" w:lineRule="auto"/>
      </w:pPr>
      <w:r>
        <w:tab/>
        <w:t>There are hundreds of thousands of cases of international child abduction litigated under The Hague Convention on Child Abduction every year.</w:t>
      </w:r>
      <w:r>
        <w:rPr>
          <w:vertAlign w:val="superscript"/>
        </w:rPr>
        <w:endnoteReference w:id="2"/>
      </w:r>
      <w:r>
        <w:t xml:space="preserve"> Mothers are the abducting parent taking their child out of their country of residence during custody proceedings in approximately three fourths of all international child abduction cases.</w:t>
      </w:r>
      <w:r>
        <w:rPr>
          <w:vertAlign w:val="superscript"/>
        </w:rPr>
        <w:endnoteReference w:id="3"/>
      </w:r>
      <w:r>
        <w:t xml:space="preserve"> The vast majority of these mothers are victims of family violence and have left their country with their children to flee the abuse of the left behind parent.</w:t>
      </w:r>
      <w:r>
        <w:rPr>
          <w:vertAlign w:val="superscript"/>
        </w:rPr>
        <w:endnoteReference w:id="4"/>
      </w:r>
      <w:r>
        <w:t xml:space="preserve"> However, The Hague Convention prioritizes the speedy return of children to their home country often to the detriment of a thorough investigation into the child’s home life and subsequently their best interest.</w:t>
      </w:r>
      <w:r>
        <w:rPr>
          <w:vertAlign w:val="superscript"/>
        </w:rPr>
        <w:endnoteReference w:id="5"/>
      </w:r>
      <w:r>
        <w:t xml:space="preserve"> This makes successful defenses to return orders based on family </w:t>
      </w:r>
      <w:r>
        <w:lastRenderedPageBreak/>
        <w:t>violence alarmingly rare resulting in the forced return of women and children to dangerous homes.</w:t>
      </w:r>
      <w:r>
        <w:rPr>
          <w:vertAlign w:val="superscript"/>
        </w:rPr>
        <w:endnoteReference w:id="6"/>
      </w:r>
      <w:r>
        <w:t xml:space="preserve"> </w:t>
      </w:r>
    </w:p>
    <w:p w14:paraId="0000000B" w14:textId="3BBF1621" w:rsidR="00956011" w:rsidRPr="00A46F34" w:rsidRDefault="00956011" w:rsidP="00A46F34">
      <w:pPr>
        <w:pStyle w:val="ListParagraph"/>
        <w:numPr>
          <w:ilvl w:val="0"/>
          <w:numId w:val="2"/>
        </w:numPr>
        <w:spacing w:line="480" w:lineRule="auto"/>
        <w:rPr>
          <w:b/>
        </w:rPr>
      </w:pPr>
      <w:r w:rsidRPr="00A46F34">
        <w:rPr>
          <w:b/>
        </w:rPr>
        <w:t>Background</w:t>
      </w:r>
    </w:p>
    <w:p w14:paraId="0000000C" w14:textId="77777777" w:rsidR="00956011" w:rsidRDefault="00956011">
      <w:pPr>
        <w:spacing w:line="480" w:lineRule="auto"/>
        <w:ind w:firstLine="720"/>
      </w:pPr>
      <w:r>
        <w:t>For most of history, children were regarded as property of their parents instead of distinct human beings entitled to justice and protection.</w:t>
      </w:r>
      <w:r>
        <w:rPr>
          <w:vertAlign w:val="superscript"/>
        </w:rPr>
        <w:endnoteReference w:id="7"/>
      </w:r>
      <w:r>
        <w:t xml:space="preserve"> Children’s legal rights began to slowly be recognized only in the late 18th century and throughout the 19th century, culminating in the 1924 Geneva Declaration of the Rights of the Child.</w:t>
      </w:r>
      <w:r>
        <w:rPr>
          <w:vertAlign w:val="superscript"/>
        </w:rPr>
        <w:endnoteReference w:id="8"/>
      </w:r>
      <w:r>
        <w:t xml:space="preserve"> With the codification of children’s legal rights, rise of globalization, and increase in cross-national marriages in the mid to late 20th century, a need emerged to protect children from “international child abduction” by parents in custody disputes.</w:t>
      </w:r>
      <w:r>
        <w:rPr>
          <w:vertAlign w:val="superscript"/>
        </w:rPr>
        <w:endnoteReference w:id="9"/>
      </w:r>
      <w:r>
        <w:t xml:space="preserve"> Therefore, the Hague Conference on Private International Law began efforts to formally define international child abduction and put safeguards in place for children taken from their home countries, resulting in the 1980 Hague Convention on the Civil Aspects of International Child Abduction.</w:t>
      </w:r>
      <w:r>
        <w:rPr>
          <w:vertAlign w:val="superscript"/>
        </w:rPr>
        <w:endnoteReference w:id="10"/>
      </w:r>
      <w:r>
        <w:t xml:space="preserve"> </w:t>
      </w:r>
    </w:p>
    <w:p w14:paraId="0000000D" w14:textId="77777777" w:rsidR="00956011" w:rsidRDefault="00956011">
      <w:pPr>
        <w:spacing w:line="480" w:lineRule="auto"/>
        <w:ind w:firstLine="720"/>
      </w:pPr>
      <w:r>
        <w:t>The purpose of the Convention is to prioritize the interests of the child “in matters relating to their custody” by protecting “children internationally from the harmful effects of their wrongful removal” through: 1) securing “the prompt return of children wrongfully removed to or retained in any Contracting State,” and 2) ensuring that Contracting States’ respect each other's custody laws.</w:t>
      </w:r>
      <w:r>
        <w:rPr>
          <w:vertAlign w:val="superscript"/>
        </w:rPr>
        <w:endnoteReference w:id="11"/>
      </w:r>
      <w:r>
        <w:t xml:space="preserve"> Each Contracting State is required to create or designate a Central Authority to execute the duties imposed by the Convention and facilitate the swift return of wrongfully removed or retained children under the age of sixteen.</w:t>
      </w:r>
      <w:r>
        <w:rPr>
          <w:vertAlign w:val="superscript"/>
        </w:rPr>
        <w:endnoteReference w:id="12"/>
      </w:r>
      <w:r>
        <w:t xml:space="preserve"> In the United States, this authority is the Department of State’s Office of Children’s Issues.</w:t>
      </w:r>
      <w:r>
        <w:rPr>
          <w:vertAlign w:val="superscript"/>
        </w:rPr>
        <w:endnoteReference w:id="13"/>
      </w:r>
      <w:r>
        <w:t xml:space="preserve"> Someone claiming that a child has been removed to another country in breach of custody rights can appeal to the Central Authority of any Contracting State to help with the return of said child.</w:t>
      </w:r>
      <w:r>
        <w:rPr>
          <w:vertAlign w:val="superscript"/>
        </w:rPr>
        <w:endnoteReference w:id="14"/>
      </w:r>
      <w:r>
        <w:t xml:space="preserve"> The Convention prioritizes the </w:t>
      </w:r>
      <w:r>
        <w:lastRenderedPageBreak/>
        <w:t>speedy return of abducted children, calling for proceedings invoking the Convention to conclude and for the child to be returned to their home country within six weeks.</w:t>
      </w:r>
      <w:r>
        <w:rPr>
          <w:vertAlign w:val="superscript"/>
        </w:rPr>
        <w:endnoteReference w:id="15"/>
      </w:r>
      <w:r>
        <w:t xml:space="preserve"> The Convention does not seek to evaluate child custody claims, rather the sole focus of Convention litigation is whether or not the child must be returned to their country of residence.</w:t>
      </w:r>
      <w:r>
        <w:rPr>
          <w:vertAlign w:val="superscript"/>
        </w:rPr>
        <w:endnoteReference w:id="16"/>
      </w:r>
    </w:p>
    <w:p w14:paraId="0000000E" w14:textId="77777777" w:rsidR="00956011" w:rsidRDefault="00956011">
      <w:pPr>
        <w:spacing w:line="480" w:lineRule="auto"/>
        <w:ind w:firstLine="720"/>
      </w:pPr>
      <w:r>
        <w:t>The Convention has three important provisions laying out exceptions to the speedy return of removed children requirement.</w:t>
      </w:r>
      <w:r>
        <w:rPr>
          <w:vertAlign w:val="superscript"/>
        </w:rPr>
        <w:endnoteReference w:id="17"/>
      </w:r>
      <w:r>
        <w:t xml:space="preserve"> Under Article 12, the return of the abducted child does not have to be ordered if it has been over one year since the removal of the child and “it is demonstrated that the child is now settled in its new environment.”</w:t>
      </w:r>
      <w:r>
        <w:rPr>
          <w:vertAlign w:val="superscript"/>
        </w:rPr>
        <w:endnoteReference w:id="18"/>
      </w:r>
      <w:r>
        <w:t xml:space="preserve"> Article 13 provides that a Contracting State is not obligated to return a child if a) the person seeking the return of the child did not have custody rights at the time of removal or had consented to the removal or retention, or b) “there is a grave risk that [the child’s] return would expose the child to physical or psychological harm or otherwise place the child in an intolerable situation.”</w:t>
      </w:r>
      <w:r>
        <w:rPr>
          <w:vertAlign w:val="superscript"/>
        </w:rPr>
        <w:endnoteReference w:id="19"/>
      </w:r>
      <w:r>
        <w:t xml:space="preserve"> Finally, Article 20 states that the return of a child may be refused if the return “would not be permitted by the fundamental principles of the requested State relating to the protection of human rights and fundamental freedoms.”</w:t>
      </w:r>
      <w:r>
        <w:rPr>
          <w:vertAlign w:val="superscript"/>
        </w:rPr>
        <w:endnoteReference w:id="20"/>
      </w:r>
    </w:p>
    <w:p w14:paraId="00000010" w14:textId="5FBC0607" w:rsidR="00956011" w:rsidRDefault="00956011" w:rsidP="000D573B">
      <w:pPr>
        <w:spacing w:line="480" w:lineRule="auto"/>
        <w:ind w:firstLine="720"/>
      </w:pPr>
      <w:r>
        <w:t>As of 2022, there are 103 contracting parties to the Convention,</w:t>
      </w:r>
      <w:r>
        <w:rPr>
          <w:vertAlign w:val="superscript"/>
        </w:rPr>
        <w:endnoteReference w:id="21"/>
      </w:r>
      <w:r>
        <w:t xml:space="preserve"> and the Convention has been generally regarded as an extremely effective mechanism to quickly return abducted children to their homes.</w:t>
      </w:r>
      <w:r>
        <w:rPr>
          <w:vertAlign w:val="superscript"/>
        </w:rPr>
        <w:endnoteReference w:id="22"/>
      </w:r>
      <w:r>
        <w:t xml:space="preserve"> However, the narrow and ill-defined exceptions to the prompt return of abducted children requirement leaves room for the inconsistent application of exceptions and disadvantages parents, mostly mothers, fleeing with their children from violent homes.</w:t>
      </w:r>
      <w:r>
        <w:rPr>
          <w:vertAlign w:val="superscript"/>
        </w:rPr>
        <w:endnoteReference w:id="23"/>
      </w:r>
    </w:p>
    <w:p w14:paraId="00000012" w14:textId="48264B6C" w:rsidR="00956011" w:rsidRPr="00147FBA" w:rsidRDefault="00956011" w:rsidP="00147FBA">
      <w:pPr>
        <w:pStyle w:val="ListParagraph"/>
        <w:numPr>
          <w:ilvl w:val="0"/>
          <w:numId w:val="2"/>
        </w:numPr>
        <w:spacing w:line="480" w:lineRule="auto"/>
        <w:rPr>
          <w:b/>
        </w:rPr>
      </w:pPr>
      <w:r w:rsidRPr="00147FBA">
        <w:rPr>
          <w:b/>
        </w:rPr>
        <w:t>Domestic Violence and the Convention</w:t>
      </w:r>
    </w:p>
    <w:p w14:paraId="00000013" w14:textId="77777777" w:rsidR="00956011" w:rsidRDefault="00956011">
      <w:pPr>
        <w:spacing w:line="480" w:lineRule="auto"/>
        <w:ind w:firstLine="720"/>
      </w:pPr>
      <w:r>
        <w:t xml:space="preserve">In 2020, the World Health Organization reported that every year approximately “300 million children under the age of six are subjected to physical or psychological punishment by </w:t>
      </w:r>
      <w:r>
        <w:lastRenderedPageBreak/>
        <w:t>their parents or caregivers.”</w:t>
      </w:r>
      <w:r>
        <w:rPr>
          <w:vertAlign w:val="superscript"/>
        </w:rPr>
        <w:endnoteReference w:id="24"/>
      </w:r>
      <w:r>
        <w:t xml:space="preserve"> In addition, one in four children live in a household where their mother is subjected to domestic violence.</w:t>
      </w:r>
      <w:r>
        <w:rPr>
          <w:vertAlign w:val="superscript"/>
        </w:rPr>
        <w:endnoteReference w:id="25"/>
      </w:r>
      <w:r>
        <w:t xml:space="preserve"> An estimated 70% of parental child abduction cases under the Convention involve domestic violence, and as of 2015, in 73% of cases mothers were the abducting parent, a 4% increase since 1999.</w:t>
      </w:r>
      <w:r>
        <w:rPr>
          <w:vertAlign w:val="superscript"/>
        </w:rPr>
        <w:endnoteReference w:id="26"/>
      </w:r>
      <w:r>
        <w:t xml:space="preserve"> In 2015, the Article 13(1)(b) “grave risk of harm” exception to the mandated return of the child was the most frequently cited defense in international child abduction cases and was the basis for judicial refusal in 25% of return petitions.</w:t>
      </w:r>
      <w:r>
        <w:rPr>
          <w:vertAlign w:val="superscript"/>
        </w:rPr>
        <w:endnoteReference w:id="27"/>
      </w:r>
      <w:r>
        <w:t xml:space="preserve"> Despite the frequency of domestic violence cases that use the</w:t>
      </w:r>
      <w:r>
        <w:rPr>
          <w:i/>
        </w:rPr>
        <w:t xml:space="preserve"> grave risk of harm</w:t>
      </w:r>
      <w:r>
        <w:t xml:space="preserve"> defense to argue that children should not be returned to the abusive parent, proving that there is a </w:t>
      </w:r>
      <w:r>
        <w:rPr>
          <w:i/>
        </w:rPr>
        <w:t xml:space="preserve">grave risk </w:t>
      </w:r>
      <w:r>
        <w:t>associated with the child’s return is considerably difficult.</w:t>
      </w:r>
      <w:r>
        <w:rPr>
          <w:vertAlign w:val="superscript"/>
        </w:rPr>
        <w:endnoteReference w:id="28"/>
      </w:r>
    </w:p>
    <w:p w14:paraId="00000014" w14:textId="77777777" w:rsidR="00956011" w:rsidRDefault="00956011">
      <w:pPr>
        <w:spacing w:line="480" w:lineRule="auto"/>
        <w:ind w:firstLine="720"/>
      </w:pPr>
      <w:r>
        <w:t>A major factor giving rise to the difficulty in raising an Article 13(1)(b) defense is the lack of clear definitions for key terms within the articles of the Convention including “grave harm” and “intolerable situation.”</w:t>
      </w:r>
      <w:r>
        <w:rPr>
          <w:vertAlign w:val="superscript"/>
        </w:rPr>
        <w:endnoteReference w:id="29"/>
      </w:r>
      <w:r>
        <w:t xml:space="preserve"> This lack of clarity allows each Contracting State to superimpose their understandings of harm and human rights which can vary greatly and be heavily influenced by societal biases like gender stereotypes, classism, and homophobia, leading to judicial decisions that are not always in the best interest of the child.</w:t>
      </w:r>
      <w:r>
        <w:rPr>
          <w:vertAlign w:val="superscript"/>
        </w:rPr>
        <w:endnoteReference w:id="30"/>
      </w:r>
      <w:r>
        <w:t xml:space="preserve"> For example, many countries have implemented a literal interpretation of a </w:t>
      </w:r>
      <w:r>
        <w:rPr>
          <w:i/>
        </w:rPr>
        <w:t>grave risk of harm</w:t>
      </w:r>
      <w:r>
        <w:t xml:space="preserve"> that requires physical abuse to be directed toward the child and discounts abuse faced by the abducting parent.</w:t>
      </w:r>
      <w:r>
        <w:rPr>
          <w:vertAlign w:val="superscript"/>
        </w:rPr>
        <w:endnoteReference w:id="31"/>
      </w:r>
      <w:r>
        <w:t xml:space="preserve"> This often has the effect of forcing mothers to return with their children to an unsafe environment when they cannot prove the existence of sufficient abuse by the left behind parent directly toward the child or that the abuse levied against them is sufficiently harmful to their child.</w:t>
      </w:r>
      <w:r>
        <w:rPr>
          <w:vertAlign w:val="superscript"/>
        </w:rPr>
        <w:endnoteReference w:id="32"/>
      </w:r>
      <w:r>
        <w:t xml:space="preserve"> </w:t>
      </w:r>
    </w:p>
    <w:p w14:paraId="00000015" w14:textId="5FB9B6FD" w:rsidR="00956011" w:rsidRDefault="00956011">
      <w:pPr>
        <w:spacing w:line="480" w:lineRule="auto"/>
        <w:ind w:firstLine="720"/>
      </w:pPr>
      <w:r>
        <w:t xml:space="preserve">The Convention has no safety measures to protect abused parents returning their children to the country of residence, and social scientist William </w:t>
      </w:r>
      <w:proofErr w:type="spellStart"/>
      <w:r>
        <w:t>Vesneski</w:t>
      </w:r>
      <w:proofErr w:type="spellEnd"/>
      <w:r>
        <w:t xml:space="preserve"> has argued that abused women raising the </w:t>
      </w:r>
      <w:r>
        <w:rPr>
          <w:i/>
        </w:rPr>
        <w:t xml:space="preserve">grave risk </w:t>
      </w:r>
      <w:r w:rsidR="00147FBA">
        <w:t>defense</w:t>
      </w:r>
      <w:r>
        <w:t xml:space="preserve"> face the most difficult path toward escaping domestic violence.</w:t>
      </w:r>
      <w:r>
        <w:rPr>
          <w:vertAlign w:val="superscript"/>
        </w:rPr>
        <w:endnoteReference w:id="33"/>
      </w:r>
      <w:r>
        <w:t xml:space="preserve"> </w:t>
      </w:r>
      <w:proofErr w:type="spellStart"/>
      <w:r>
        <w:lastRenderedPageBreak/>
        <w:t>Vesneski</w:t>
      </w:r>
      <w:proofErr w:type="spellEnd"/>
      <w:r>
        <w:t xml:space="preserve"> asserts that Article 13(1)(b) decisions are often "against the interest of … battered women and their children.”</w:t>
      </w:r>
      <w:r>
        <w:rPr>
          <w:vertAlign w:val="superscript"/>
        </w:rPr>
        <w:endnoteReference w:id="34"/>
      </w:r>
      <w:r>
        <w:t xml:space="preserve"> The </w:t>
      </w:r>
      <w:r>
        <w:rPr>
          <w:i/>
        </w:rPr>
        <w:t>intolerable situation</w:t>
      </w:r>
      <w:r>
        <w:t xml:space="preserve"> prong of the Article 13(1)(b) exception also has varying interpretations.</w:t>
      </w:r>
      <w:r>
        <w:rPr>
          <w:vertAlign w:val="superscript"/>
        </w:rPr>
        <w:endnoteReference w:id="35"/>
      </w:r>
      <w:r>
        <w:t xml:space="preserve"> Notably, the United Kingdom has interpreted intolerability as “a situation which this particular child in these particular circumstances should not be expected to tolerate” that goes beyond an acceptable level of “tumble, discomfort, and distress.”</w:t>
      </w:r>
      <w:r>
        <w:rPr>
          <w:vertAlign w:val="superscript"/>
        </w:rPr>
        <w:endnoteReference w:id="36"/>
      </w:r>
      <w:r>
        <w:t xml:space="preserve"> This creates opportunities for individual courts to judge the severity of harm posed to the child based on biases against the parent raising the defense.</w:t>
      </w:r>
      <w:r>
        <w:rPr>
          <w:vertAlign w:val="superscript"/>
        </w:rPr>
        <w:endnoteReference w:id="37"/>
      </w:r>
      <w:r>
        <w:t xml:space="preserve"> A more in-depth investigation of the child’s homelife that accounts for varying forms of abuse in these cases has been criticized for delaying the return of children to the left behind parent in contradiction to the Convention’s promptness requirement.</w:t>
      </w:r>
      <w:r>
        <w:rPr>
          <w:vertAlign w:val="superscript"/>
        </w:rPr>
        <w:endnoteReference w:id="38"/>
      </w:r>
      <w:r>
        <w:t xml:space="preserve"> Yet, advocates for mothers fleeing domestic violence urge courts to prioritize the best interest of the child over a prompt return.</w:t>
      </w:r>
      <w:r>
        <w:rPr>
          <w:vertAlign w:val="superscript"/>
        </w:rPr>
        <w:endnoteReference w:id="39"/>
      </w:r>
      <w:r>
        <w:t xml:space="preserve"> </w:t>
      </w:r>
    </w:p>
    <w:p w14:paraId="00000016" w14:textId="77777777" w:rsidR="00956011" w:rsidRDefault="00956011">
      <w:pPr>
        <w:spacing w:line="480" w:lineRule="auto"/>
        <w:ind w:firstLine="720"/>
      </w:pPr>
      <w:r>
        <w:t>In the United States, the International Child Abduction Act enforces the Convention and requires the high evidentiary standard of ‘clear and convincing’ evidence in court proceedings.</w:t>
      </w:r>
      <w:r>
        <w:rPr>
          <w:vertAlign w:val="superscript"/>
        </w:rPr>
        <w:endnoteReference w:id="40"/>
      </w:r>
      <w:r>
        <w:t xml:space="preserve"> There is a circuit split between whether it is required for the child to be the target of physical abuse by the left behind parent or if the child witnessing or otherwise being affected by the abuse is sufficient.</w:t>
      </w:r>
      <w:r>
        <w:rPr>
          <w:vertAlign w:val="superscript"/>
        </w:rPr>
        <w:endnoteReference w:id="41"/>
      </w:r>
      <w:r>
        <w:t xml:space="preserve"> Either way, the likelihood of a successful 13(1)(b) defense diminishes significantly if the child is not the direct target of the abuse.</w:t>
      </w:r>
      <w:r>
        <w:rPr>
          <w:vertAlign w:val="superscript"/>
        </w:rPr>
        <w:endnoteReference w:id="42"/>
      </w:r>
      <w:r>
        <w:t xml:space="preserve"> Unfortunately, the requirement that the child must be the target of physical abuse discredits the impact that abuse against a parent has on a child in the household, invites bias against domestic violence survivors, particularly women, into the courtroom, and construes a narrow definition of domestic abuse that excludes non-physical forms of abuse and mental health concerns.</w:t>
      </w:r>
      <w:r>
        <w:rPr>
          <w:vertAlign w:val="superscript"/>
        </w:rPr>
        <w:endnoteReference w:id="43"/>
      </w:r>
      <w:r>
        <w:t xml:space="preserve"> It is also difficult to produce evidence of physical abuse directed toward the child to meet the high bar of ‘clear and convincing’ evidence.</w:t>
      </w:r>
      <w:r>
        <w:rPr>
          <w:vertAlign w:val="superscript"/>
        </w:rPr>
        <w:endnoteReference w:id="44"/>
      </w:r>
      <w:r>
        <w:t xml:space="preserve"> More recently, American courts have begun to recognize the severe psychological </w:t>
      </w:r>
      <w:r>
        <w:lastRenderedPageBreak/>
        <w:t>impacts on children of witnessing their parent be abused.</w:t>
      </w:r>
      <w:r>
        <w:rPr>
          <w:vertAlign w:val="superscript"/>
        </w:rPr>
        <w:endnoteReference w:id="45"/>
      </w:r>
      <w:r>
        <w:t xml:space="preserve"> In </w:t>
      </w:r>
      <w:r>
        <w:rPr>
          <w:i/>
        </w:rPr>
        <w:t>Davies v. Davies</w:t>
      </w:r>
      <w:r>
        <w:t>, a 2017 district court case, the return of the child was barred because the father’s abuse toward the mother “left few physical scars, but which was nonetheless severely damaging to [the child].”</w:t>
      </w:r>
      <w:r>
        <w:rPr>
          <w:vertAlign w:val="superscript"/>
        </w:rPr>
        <w:endnoteReference w:id="46"/>
      </w:r>
      <w:r>
        <w:t xml:space="preserve"> In the 2019 case </w:t>
      </w:r>
      <w:r>
        <w:rPr>
          <w:i/>
        </w:rPr>
        <w:t>Saada v. Golan</w:t>
      </w:r>
      <w:r>
        <w:t>, the Second Circuit reversed the return order for a child on the basis that the ameliorative measures the father offered to the mother to prevent future abuse against her including a $30,000 financial support payment and adherence to a restraining order were insufficient to guarantee the safety of the child.</w:t>
      </w:r>
      <w:r>
        <w:rPr>
          <w:vertAlign w:val="superscript"/>
        </w:rPr>
        <w:endnoteReference w:id="47"/>
      </w:r>
      <w:r>
        <w:t xml:space="preserve"> The Supreme Court of the United States affirmed the ruling in 2022 and explicitly stated that the children’s safety is a primary Convention concern.</w:t>
      </w:r>
      <w:r>
        <w:rPr>
          <w:vertAlign w:val="superscript"/>
        </w:rPr>
        <w:endnoteReference w:id="48"/>
      </w:r>
    </w:p>
    <w:p w14:paraId="00000018" w14:textId="746644C1" w:rsidR="00956011" w:rsidRDefault="00956011" w:rsidP="000D573B">
      <w:pPr>
        <w:spacing w:line="480" w:lineRule="auto"/>
        <w:ind w:firstLine="720"/>
      </w:pPr>
      <w:r>
        <w:t>In the past decade, the United Kingdom Supreme Court has begun to recognize the connection between domestic violence towards the mother and a great risk of harm to the child, however, the presence of abuse is insufficient.</w:t>
      </w:r>
      <w:r>
        <w:rPr>
          <w:vertAlign w:val="superscript"/>
        </w:rPr>
        <w:endnoteReference w:id="49"/>
      </w:r>
      <w:r>
        <w:t xml:space="preserve"> Instead, the legal standard is “whether the effect of domestic violence [between the parents] on the child upon his/her return’ will have such an impact as to place him/her in grave.”</w:t>
      </w:r>
      <w:r>
        <w:rPr>
          <w:vertAlign w:val="superscript"/>
        </w:rPr>
        <w:endnoteReference w:id="50"/>
      </w:r>
      <w:r>
        <w:t xml:space="preserve"> Australia is another country that has made great progress in ensuring the safety of mothers and children who have whitened abuse by one parent to another.</w:t>
      </w:r>
      <w:r>
        <w:rPr>
          <w:vertAlign w:val="superscript"/>
        </w:rPr>
        <w:endnoteReference w:id="51"/>
      </w:r>
      <w:r>
        <w:t xml:space="preserve"> The 2022 Australian Regulations pursuant to the 1980 Hague Convention clearly outline domestic violence in the home as a consideration under the grave risk of harm defense and that “a court does not need to be satisfied that such violence has occurred or will occur before it is taken into account.”</w:t>
      </w:r>
      <w:r>
        <w:rPr>
          <w:vertAlign w:val="superscript"/>
        </w:rPr>
        <w:endnoteReference w:id="52"/>
      </w:r>
      <w:r>
        <w:t xml:space="preserve"> Despite the progress made in various countries, the lack of clarification in the Convention text about the considerations under the risk of grave harm exception creates inconsistent applications from country to country with varying levels of protection for mothers in different Contracting States.</w:t>
      </w:r>
      <w:r>
        <w:rPr>
          <w:vertAlign w:val="superscript"/>
        </w:rPr>
        <w:endnoteReference w:id="53"/>
      </w:r>
    </w:p>
    <w:p w14:paraId="0000001A" w14:textId="4295F3DA" w:rsidR="00956011" w:rsidRPr="00147FBA" w:rsidRDefault="00956011" w:rsidP="00147FBA">
      <w:pPr>
        <w:pStyle w:val="ListParagraph"/>
        <w:numPr>
          <w:ilvl w:val="0"/>
          <w:numId w:val="2"/>
        </w:numPr>
        <w:spacing w:line="480" w:lineRule="auto"/>
        <w:rPr>
          <w:b/>
        </w:rPr>
      </w:pPr>
      <w:r w:rsidRPr="00147FBA">
        <w:rPr>
          <w:b/>
        </w:rPr>
        <w:t>Future Steps</w:t>
      </w:r>
    </w:p>
    <w:p w14:paraId="0000001B" w14:textId="77777777" w:rsidR="00956011" w:rsidRDefault="00956011">
      <w:pPr>
        <w:spacing w:line="480" w:lineRule="auto"/>
        <w:ind w:firstLine="720"/>
      </w:pPr>
      <w:r>
        <w:lastRenderedPageBreak/>
        <w:t xml:space="preserve">The three main suggested approaches to addressing the issue of how to address Convention cases of domestic violence are amending the Convention’s language to include clear definitions of terms relevant to the </w:t>
      </w:r>
      <w:r>
        <w:rPr>
          <w:i/>
        </w:rPr>
        <w:t>grave risk</w:t>
      </w:r>
      <w:r>
        <w:t xml:space="preserve"> defense, adjusting the legal balancing test to apply more weight to the best interest of the child than the prompt return to the home country, or ratifying a new treaty that explicitly protects victims of domestic violence in international child abduction cases. One suggested amendment to Article 13 is to add a third prong to the listed exceptions to the required return of a child reading that “the court shall consider exposure to family violence or abuse as harmful to a child or as an intolerable situation.”</w:t>
      </w:r>
      <w:r>
        <w:rPr>
          <w:vertAlign w:val="superscript"/>
        </w:rPr>
        <w:endnoteReference w:id="54"/>
      </w:r>
      <w:r>
        <w:t xml:space="preserve"> This language clarifies that family violence, even if not explicitly directed at the child, can still “constitute a grave risk of harm or intolerable situation” without infringing upon the court’s discretion to order a return or changing the severity of the risk that must be demonstrated under the defense.</w:t>
      </w:r>
      <w:r>
        <w:rPr>
          <w:vertAlign w:val="superscript"/>
        </w:rPr>
        <w:endnoteReference w:id="55"/>
      </w:r>
      <w:r>
        <w:t xml:space="preserve"> The aim of amending the language of the Convention is to require courts to consider the effects of family violence on children in abduction cases and reduce the number of parents forced to return to dangerous households with their children.</w:t>
      </w:r>
      <w:r>
        <w:rPr>
          <w:vertAlign w:val="superscript"/>
        </w:rPr>
        <w:endnoteReference w:id="56"/>
      </w:r>
    </w:p>
    <w:p w14:paraId="0000001C" w14:textId="77777777" w:rsidR="00956011" w:rsidRDefault="00956011">
      <w:pPr>
        <w:spacing w:line="480" w:lineRule="auto"/>
        <w:ind w:firstLine="720"/>
      </w:pPr>
      <w:r>
        <w:t>Advocates of reforming the legal analysis of child return policy exceptions argue that within the existing language of the Convention, courts should use the best interest of the child as the weightier factor then the “need for prompt return” when reviewing return petitions in order to better guarantee that a return will not cause harm to the child or the abducting parent.</w:t>
      </w:r>
      <w:r>
        <w:rPr>
          <w:vertAlign w:val="superscript"/>
        </w:rPr>
        <w:endnoteReference w:id="57"/>
      </w:r>
      <w:r>
        <w:t xml:space="preserve"> The best interest of the child should be considered in “a detailed and </w:t>
      </w:r>
      <w:proofErr w:type="spellStart"/>
      <w:r>
        <w:t>contextualised</w:t>
      </w:r>
      <w:proofErr w:type="spellEnd"/>
      <w:r>
        <w:t xml:space="preserve"> manner” underscoring that the “automatic return of abducted [child] cannot be presumed.”</w:t>
      </w:r>
      <w:r>
        <w:rPr>
          <w:vertAlign w:val="superscript"/>
        </w:rPr>
        <w:endnoteReference w:id="58"/>
      </w:r>
      <w:r>
        <w:t xml:space="preserve"> This approach emphasizes balancing the effectiveness of the prompt return of the child against “the protection of children’s individual rights.”</w:t>
      </w:r>
      <w:r>
        <w:rPr>
          <w:vertAlign w:val="superscript"/>
        </w:rPr>
        <w:endnoteReference w:id="59"/>
      </w:r>
    </w:p>
    <w:p w14:paraId="0000001D" w14:textId="77777777" w:rsidR="00956011" w:rsidRDefault="00956011">
      <w:pPr>
        <w:spacing w:line="480" w:lineRule="auto"/>
        <w:ind w:firstLine="720"/>
      </w:pPr>
      <w:r>
        <w:lastRenderedPageBreak/>
        <w:t xml:space="preserve">Lastly, a prominent European feminist group, the </w:t>
      </w:r>
      <w:proofErr w:type="spellStart"/>
      <w:r>
        <w:t>FiLiA</w:t>
      </w:r>
      <w:proofErr w:type="spellEnd"/>
      <w:r>
        <w:t xml:space="preserve"> Hague Mothers’ Campaign, has heavily campaigned for the ratification of an additional international legal instrument expressly aimed at protecting parents and children escaping domestic violence in Convention cases.</w:t>
      </w:r>
      <w:r>
        <w:rPr>
          <w:vertAlign w:val="superscript"/>
        </w:rPr>
        <w:endnoteReference w:id="60"/>
      </w:r>
      <w:r>
        <w:t xml:space="preserve"> The Hague Mothers have called for: </w:t>
      </w:r>
    </w:p>
    <w:p w14:paraId="0000001E" w14:textId="1B5B4641" w:rsidR="00956011" w:rsidRDefault="00956011">
      <w:pPr>
        <w:numPr>
          <w:ilvl w:val="0"/>
          <w:numId w:val="1"/>
        </w:numPr>
        <w:spacing w:line="240" w:lineRule="auto"/>
        <w:jc w:val="both"/>
      </w:pPr>
      <w:r>
        <w:t xml:space="preserve">a specific </w:t>
      </w:r>
      <w:r w:rsidR="00147FBA">
        <w:t>defense</w:t>
      </w:r>
      <w:r>
        <w:t xml:space="preserve"> against return in cases of domestic abuse,</w:t>
      </w:r>
    </w:p>
    <w:p w14:paraId="0000001F" w14:textId="77777777" w:rsidR="00956011" w:rsidRDefault="00956011">
      <w:pPr>
        <w:numPr>
          <w:ilvl w:val="0"/>
          <w:numId w:val="1"/>
        </w:numPr>
        <w:spacing w:line="240" w:lineRule="auto"/>
        <w:jc w:val="both"/>
      </w:pPr>
      <w:r>
        <w:t xml:space="preserve">a stay on return orders in domestic abuse cases to enable the welfare issues to be </w:t>
      </w:r>
    </w:p>
    <w:p w14:paraId="00000020" w14:textId="77777777" w:rsidR="00956011" w:rsidRDefault="00956011">
      <w:pPr>
        <w:spacing w:line="240" w:lineRule="auto"/>
        <w:ind w:left="720"/>
        <w:jc w:val="both"/>
      </w:pPr>
      <w:r>
        <w:t>litigated while the mother and children are in a safe location,</w:t>
      </w:r>
    </w:p>
    <w:p w14:paraId="00000021" w14:textId="77777777" w:rsidR="00956011" w:rsidRDefault="00956011">
      <w:pPr>
        <w:numPr>
          <w:ilvl w:val="0"/>
          <w:numId w:val="1"/>
        </w:numPr>
        <w:spacing w:line="240" w:lineRule="auto"/>
        <w:jc w:val="both"/>
      </w:pPr>
      <w:r>
        <w:t xml:space="preserve">proper risk assessment and exploration of each child’s views, and </w:t>
      </w:r>
    </w:p>
    <w:p w14:paraId="00000022" w14:textId="77777777" w:rsidR="00956011" w:rsidRDefault="00956011">
      <w:pPr>
        <w:numPr>
          <w:ilvl w:val="0"/>
          <w:numId w:val="1"/>
        </w:numPr>
        <w:spacing w:line="240" w:lineRule="auto"/>
        <w:jc w:val="both"/>
      </w:pPr>
      <w:r>
        <w:t xml:space="preserve">equality of arms to enable the taking parents as well as the left-behind parents to </w:t>
      </w:r>
    </w:p>
    <w:p w14:paraId="00000023" w14:textId="77777777" w:rsidR="00956011" w:rsidRDefault="00956011">
      <w:pPr>
        <w:spacing w:line="240" w:lineRule="auto"/>
        <w:ind w:left="720"/>
        <w:jc w:val="both"/>
      </w:pPr>
      <w:r>
        <w:t>have legal representation.</w:t>
      </w:r>
      <w:r>
        <w:rPr>
          <w:vertAlign w:val="superscript"/>
        </w:rPr>
        <w:endnoteReference w:id="61"/>
      </w:r>
    </w:p>
    <w:p w14:paraId="00000025" w14:textId="50517266" w:rsidR="00956011" w:rsidRDefault="00956011" w:rsidP="000D573B">
      <w:pPr>
        <w:spacing w:before="200" w:line="480" w:lineRule="auto"/>
      </w:pPr>
      <w:r>
        <w:t>To this end, the Hague Mothers have endorsed Merle Weiner’s new treaty proposal which was presented at Brazil’s Second Forum on Domestic Violence and the 1980 Child Abduction Convention which was held from October 27-30, 2025, in hopes of urging parties to the Convention to consider safeguards for victims of family violence in international child abduction proceedings.</w:t>
      </w:r>
      <w:r>
        <w:rPr>
          <w:vertAlign w:val="superscript"/>
        </w:rPr>
        <w:endnoteReference w:id="62"/>
      </w:r>
      <w:r>
        <w:t xml:space="preserve"> </w:t>
      </w:r>
    </w:p>
    <w:p w14:paraId="00000028" w14:textId="2C805DA0" w:rsidR="00956011" w:rsidRPr="00A46F34" w:rsidRDefault="00956011" w:rsidP="00A46F34">
      <w:pPr>
        <w:pStyle w:val="ListParagraph"/>
        <w:numPr>
          <w:ilvl w:val="0"/>
          <w:numId w:val="2"/>
        </w:numPr>
        <w:spacing w:line="480" w:lineRule="auto"/>
        <w:rPr>
          <w:b/>
        </w:rPr>
      </w:pPr>
      <w:r w:rsidRPr="00A46F34">
        <w:rPr>
          <w:b/>
        </w:rPr>
        <w:t>Conclusion</w:t>
      </w:r>
    </w:p>
    <w:p w14:paraId="00000029" w14:textId="77777777" w:rsidR="00956011" w:rsidRDefault="00956011">
      <w:pPr>
        <w:spacing w:line="480" w:lineRule="auto"/>
        <w:ind w:firstLine="720"/>
      </w:pPr>
      <w:r>
        <w:t>While the Hague Convention on Child Abduction is an impressive feat of international collaboration, the impact of narrowly defined return orders on women and children escaping family violence cannot be overlooked.</w:t>
      </w:r>
      <w:r>
        <w:rPr>
          <w:vertAlign w:val="superscript"/>
        </w:rPr>
        <w:endnoteReference w:id="63"/>
      </w:r>
      <w:r>
        <w:t xml:space="preserve"> The Convention’s prioritization of a prompt return of the child and lack of clear definitions for the </w:t>
      </w:r>
      <w:r>
        <w:rPr>
          <w:i/>
        </w:rPr>
        <w:t>grave harm</w:t>
      </w:r>
      <w:r>
        <w:t xml:space="preserve"> and </w:t>
      </w:r>
      <w:r>
        <w:rPr>
          <w:i/>
        </w:rPr>
        <w:t>intolerable situation</w:t>
      </w:r>
      <w:r>
        <w:t xml:space="preserve"> exceptions to return orders gives way for Contracting States to neglect the concerns of parents who have experienced family violence in favor of speedy court proceedings.</w:t>
      </w:r>
      <w:r>
        <w:rPr>
          <w:vertAlign w:val="superscript"/>
        </w:rPr>
        <w:endnoteReference w:id="64"/>
      </w:r>
      <w:r>
        <w:t xml:space="preserve"> Therefore, it is imperative that current initiatives to amend the Convention to expressly include family violence as a grave risk of harm and require courts to consider the effects of family violence on the child and abducting parent alike are adopted by Contracting States to reduce the number of parents and children forced to return to their abusers.</w:t>
      </w:r>
      <w:r>
        <w:rPr>
          <w:vertAlign w:val="superscript"/>
        </w:rPr>
        <w:endnoteReference w:id="65"/>
      </w:r>
    </w:p>
    <w:sectPr w:rsidR="00956011">
      <w:footerReference w:type="default" r:id="rId9"/>
      <w:endnotePr>
        <w:numFmt w:val="decimal"/>
      </w:endnotePr>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4A99E1" w14:textId="77777777" w:rsidR="002B55C7" w:rsidRDefault="002B55C7">
      <w:pPr>
        <w:spacing w:line="240" w:lineRule="auto"/>
      </w:pPr>
      <w:r>
        <w:separator/>
      </w:r>
    </w:p>
  </w:endnote>
  <w:endnote w:type="continuationSeparator" w:id="0">
    <w:p w14:paraId="3FA6062C" w14:textId="77777777" w:rsidR="002B55C7" w:rsidRDefault="002B55C7">
      <w:pPr>
        <w:spacing w:line="240" w:lineRule="auto"/>
      </w:pPr>
      <w:r>
        <w:continuationSeparator/>
      </w:r>
    </w:p>
  </w:endnote>
  <w:endnote w:id="1">
    <w:p w14:paraId="478D2210" w14:textId="36DBDAD1" w:rsidR="00956011" w:rsidRPr="00956011" w:rsidRDefault="00956011">
      <w:pPr>
        <w:pStyle w:val="EndnoteText"/>
        <w:rPr>
          <w:lang w:val="en-US"/>
        </w:rPr>
      </w:pPr>
      <w:r w:rsidRPr="00956011">
        <w:rPr>
          <w:rStyle w:val="EndnoteReference"/>
        </w:rPr>
        <w:endnoteRef/>
      </w:r>
      <w:r w:rsidRPr="00956011">
        <w:t xml:space="preserve"> </w:t>
      </w:r>
      <w:r w:rsidRPr="00956011">
        <w:rPr>
          <w:i/>
          <w:iCs/>
        </w:rPr>
        <w:t>Children Overseas, Abducted, Threats to Take Them. What Can I Do?</w:t>
      </w:r>
      <w:r w:rsidRPr="00956011">
        <w:t xml:space="preserve"> (photograph), </w:t>
      </w:r>
      <w:proofErr w:type="spellStart"/>
      <w:r w:rsidRPr="00956011">
        <w:rPr>
          <w:smallCaps/>
        </w:rPr>
        <w:t>Ebejer</w:t>
      </w:r>
      <w:proofErr w:type="spellEnd"/>
      <w:r w:rsidRPr="00956011">
        <w:rPr>
          <w:smallCaps/>
        </w:rPr>
        <w:t xml:space="preserve"> &amp; Associates Lawyers</w:t>
      </w:r>
      <w:r w:rsidRPr="00956011">
        <w:t xml:space="preserve"> (May 14, 2019), https://ebejerlawyers.com.au/children-overseas-abducted-threats-to-take-them-what-can-i-do/ [https://perma.cc/8MTS-XFJQ].</w:t>
      </w:r>
    </w:p>
  </w:endnote>
  <w:endnote w:id="2">
    <w:p w14:paraId="00000064" w14:textId="5302EE83" w:rsidR="00956011" w:rsidRPr="00956011" w:rsidRDefault="00956011">
      <w:pPr>
        <w:spacing w:line="240" w:lineRule="auto"/>
        <w:rPr>
          <w:sz w:val="20"/>
          <w:szCs w:val="20"/>
        </w:rPr>
      </w:pPr>
      <w:r w:rsidRPr="00956011">
        <w:rPr>
          <w:vertAlign w:val="superscript"/>
        </w:rPr>
        <w:endnoteRef/>
      </w:r>
      <w:r w:rsidRPr="00956011">
        <w:rPr>
          <w:sz w:val="20"/>
          <w:szCs w:val="20"/>
        </w:rPr>
        <w:t xml:space="preserve"> Marisa Leto, </w:t>
      </w:r>
      <w:r w:rsidRPr="00956011">
        <w:rPr>
          <w:i/>
          <w:sz w:val="20"/>
          <w:szCs w:val="20"/>
        </w:rPr>
        <w:t>Whose Best Interest? International Child Abduction Under the Hague Convention</w:t>
      </w:r>
      <w:r w:rsidRPr="00956011">
        <w:rPr>
          <w:sz w:val="20"/>
          <w:szCs w:val="20"/>
        </w:rPr>
        <w:t xml:space="preserve">, 3 </w:t>
      </w:r>
      <w:r w:rsidRPr="00956011">
        <w:rPr>
          <w:smallCaps/>
          <w:sz w:val="20"/>
          <w:szCs w:val="20"/>
        </w:rPr>
        <w:t xml:space="preserve">Chicago J. of Int’l L. </w:t>
      </w:r>
      <w:r w:rsidRPr="00956011">
        <w:rPr>
          <w:sz w:val="20"/>
          <w:szCs w:val="20"/>
        </w:rPr>
        <w:t xml:space="preserve">247, 247 (2002). </w:t>
      </w:r>
    </w:p>
  </w:endnote>
  <w:endnote w:id="3">
    <w:p w14:paraId="00000065" w14:textId="05F6FE64" w:rsidR="00956011" w:rsidRPr="00956011" w:rsidRDefault="00956011">
      <w:pPr>
        <w:spacing w:line="240" w:lineRule="auto"/>
        <w:rPr>
          <w:b/>
          <w:bCs/>
          <w:sz w:val="20"/>
          <w:szCs w:val="20"/>
          <w:lang w:val="en-US" w:bidi="hi-IN"/>
        </w:rPr>
      </w:pPr>
      <w:r w:rsidRPr="00956011">
        <w:rPr>
          <w:vertAlign w:val="superscript"/>
        </w:rPr>
        <w:endnoteRef/>
      </w:r>
      <w:r w:rsidRPr="00956011">
        <w:rPr>
          <w:sz w:val="20"/>
          <w:szCs w:val="20"/>
          <w:lang w:bidi="hi-IN"/>
        </w:rPr>
        <w:t xml:space="preserve"> Joe </w:t>
      </w:r>
      <w:proofErr w:type="spellStart"/>
      <w:r w:rsidRPr="00956011">
        <w:rPr>
          <w:sz w:val="20"/>
          <w:szCs w:val="20"/>
          <w:lang w:bidi="hi-IN"/>
        </w:rPr>
        <w:t>Buchanunn</w:t>
      </w:r>
      <w:proofErr w:type="spellEnd"/>
      <w:r w:rsidRPr="00956011">
        <w:rPr>
          <w:sz w:val="20"/>
          <w:szCs w:val="20"/>
          <w:lang w:bidi="hi-IN"/>
        </w:rPr>
        <w:t xml:space="preserve">, </w:t>
      </w:r>
      <w:r w:rsidRPr="00956011">
        <w:rPr>
          <w:i/>
          <w:iCs/>
          <w:sz w:val="20"/>
          <w:szCs w:val="20"/>
          <w:lang w:val="en-US" w:bidi="hi-IN"/>
        </w:rPr>
        <w:t>Family law expert urges 'abduction reversing' Hague Convention to take account of domestic abuse</w:t>
      </w:r>
      <w:r w:rsidRPr="00956011">
        <w:rPr>
          <w:sz w:val="20"/>
          <w:szCs w:val="20"/>
          <w:lang w:bidi="hi-IN"/>
        </w:rPr>
        <w:t xml:space="preserve">, </w:t>
      </w:r>
      <w:r w:rsidRPr="00956011">
        <w:rPr>
          <w:smallCaps/>
          <w:sz w:val="20"/>
          <w:szCs w:val="20"/>
          <w:lang w:bidi="hi-IN"/>
        </w:rPr>
        <w:t>Brunel University of London</w:t>
      </w:r>
      <w:r w:rsidRPr="00956011">
        <w:rPr>
          <w:sz w:val="20"/>
          <w:szCs w:val="20"/>
          <w:lang w:bidi="hi-IN"/>
        </w:rPr>
        <w:t xml:space="preserve"> (Jun. 28, 2024), </w:t>
      </w:r>
      <w:hyperlink r:id="rId1" w:history="1">
        <w:r w:rsidRPr="00956011">
          <w:rPr>
            <w:rStyle w:val="Hyperlink"/>
            <w:color w:val="auto"/>
            <w:sz w:val="20"/>
            <w:szCs w:val="20"/>
            <w:u w:val="none"/>
            <w:lang w:bidi="hi-IN"/>
          </w:rPr>
          <w:t>https://www.brunel.ac.uk/news-and-events/news/articles/Family-law-expert-urges-'abduction-reversing'-Hague-Convention-to-take-account-of-domestic-abuse</w:t>
        </w:r>
      </w:hyperlink>
      <w:r w:rsidRPr="00956011">
        <w:rPr>
          <w:sz w:val="20"/>
          <w:szCs w:val="20"/>
          <w:lang w:bidi="hi-IN"/>
        </w:rPr>
        <w:t xml:space="preserve"> [https://perma.cc/LT53-HD77].</w:t>
      </w:r>
    </w:p>
  </w:endnote>
  <w:endnote w:id="4">
    <w:p w14:paraId="00000066" w14:textId="36C8E2CF" w:rsidR="00956011" w:rsidRPr="00956011" w:rsidRDefault="00956011">
      <w:pPr>
        <w:spacing w:line="240" w:lineRule="auto"/>
        <w:rPr>
          <w:sz w:val="20"/>
          <w:szCs w:val="20"/>
        </w:rPr>
      </w:pPr>
      <w:r w:rsidRPr="00956011">
        <w:rPr>
          <w:vertAlign w:val="superscript"/>
        </w:rPr>
        <w:endnoteRef/>
      </w:r>
      <w:r w:rsidRPr="00956011">
        <w:rPr>
          <w:sz w:val="20"/>
          <w:szCs w:val="20"/>
        </w:rPr>
        <w:t xml:space="preserve"> </w:t>
      </w:r>
      <w:r w:rsidRPr="00956011">
        <w:rPr>
          <w:i/>
          <w:iCs/>
          <w:sz w:val="20"/>
          <w:szCs w:val="20"/>
        </w:rPr>
        <w:t>Id.</w:t>
      </w:r>
    </w:p>
  </w:endnote>
  <w:endnote w:id="5">
    <w:p w14:paraId="00000067" w14:textId="6FD27482" w:rsidR="00956011" w:rsidRPr="00956011" w:rsidRDefault="00956011" w:rsidP="00965FA6">
      <w:pPr>
        <w:spacing w:line="240" w:lineRule="auto"/>
        <w:rPr>
          <w:sz w:val="20"/>
          <w:szCs w:val="20"/>
        </w:rPr>
      </w:pPr>
      <w:r w:rsidRPr="00956011">
        <w:rPr>
          <w:vertAlign w:val="superscript"/>
        </w:rPr>
        <w:endnoteRef/>
      </w:r>
      <w:r w:rsidRPr="00956011">
        <w:rPr>
          <w:sz w:val="20"/>
          <w:szCs w:val="20"/>
        </w:rPr>
        <w:t xml:space="preserve"> Estefany Monteiro, </w:t>
      </w:r>
      <w:r w:rsidRPr="00956011">
        <w:rPr>
          <w:i/>
          <w:iCs/>
          <w:sz w:val="20"/>
          <w:szCs w:val="20"/>
        </w:rPr>
        <w:t>The Effectiveness of the Hague Convention on the Civil Aspects of International Child Abduction: A Study of the Case X vs. Latvia</w:t>
      </w:r>
      <w:r w:rsidRPr="00956011">
        <w:rPr>
          <w:sz w:val="20"/>
          <w:szCs w:val="20"/>
        </w:rPr>
        <w:t xml:space="preserve">, 8 </w:t>
      </w:r>
      <w:r w:rsidRPr="00956011">
        <w:rPr>
          <w:smallCaps/>
          <w:sz w:val="20"/>
          <w:szCs w:val="20"/>
        </w:rPr>
        <w:t>Int’l J. of L. and Soc’y</w:t>
      </w:r>
      <w:r w:rsidRPr="00956011">
        <w:rPr>
          <w:sz w:val="20"/>
          <w:szCs w:val="20"/>
        </w:rPr>
        <w:t xml:space="preserve"> 37, 40 (2025).</w:t>
      </w:r>
    </w:p>
  </w:endnote>
  <w:endnote w:id="6">
    <w:p w14:paraId="00000068" w14:textId="101F85C7" w:rsidR="00956011" w:rsidRPr="00956011" w:rsidRDefault="00956011">
      <w:pPr>
        <w:spacing w:line="240" w:lineRule="auto"/>
        <w:rPr>
          <w:sz w:val="20"/>
          <w:szCs w:val="20"/>
        </w:rPr>
      </w:pPr>
      <w:r w:rsidRPr="00956011">
        <w:rPr>
          <w:vertAlign w:val="superscript"/>
        </w:rPr>
        <w:endnoteRef/>
      </w:r>
      <w:r w:rsidRPr="00956011">
        <w:rPr>
          <w:sz w:val="20"/>
          <w:szCs w:val="20"/>
        </w:rPr>
        <w:t xml:space="preserve"> </w:t>
      </w:r>
      <w:proofErr w:type="spellStart"/>
      <w:r w:rsidRPr="00956011">
        <w:rPr>
          <w:sz w:val="20"/>
          <w:szCs w:val="20"/>
          <w:lang w:bidi="hi-IN"/>
        </w:rPr>
        <w:t>Buchanunn</w:t>
      </w:r>
      <w:proofErr w:type="spellEnd"/>
      <w:r w:rsidRPr="00956011">
        <w:rPr>
          <w:sz w:val="20"/>
          <w:szCs w:val="20"/>
        </w:rPr>
        <w:t xml:space="preserve"> </w:t>
      </w:r>
      <w:r w:rsidRPr="00956011">
        <w:rPr>
          <w:i/>
          <w:iCs/>
          <w:sz w:val="20"/>
          <w:szCs w:val="20"/>
        </w:rPr>
        <w:t>supra</w:t>
      </w:r>
      <w:r w:rsidRPr="00956011">
        <w:rPr>
          <w:sz w:val="20"/>
          <w:szCs w:val="20"/>
        </w:rPr>
        <w:t xml:space="preserve"> note 3. </w:t>
      </w:r>
    </w:p>
  </w:endnote>
  <w:endnote w:id="7">
    <w:p w14:paraId="0000002A" w14:textId="718D5DC5" w:rsidR="00956011" w:rsidRPr="00956011" w:rsidRDefault="00956011">
      <w:pPr>
        <w:spacing w:line="240" w:lineRule="auto"/>
        <w:rPr>
          <w:sz w:val="20"/>
          <w:szCs w:val="20"/>
        </w:rPr>
      </w:pPr>
      <w:r w:rsidRPr="00956011">
        <w:rPr>
          <w:vertAlign w:val="superscript"/>
        </w:rPr>
        <w:endnoteRef/>
      </w:r>
      <w:r w:rsidRPr="00956011">
        <w:rPr>
          <w:sz w:val="20"/>
          <w:szCs w:val="20"/>
        </w:rPr>
        <w:t xml:space="preserve"> Monteiro, </w:t>
      </w:r>
      <w:r w:rsidRPr="00956011">
        <w:rPr>
          <w:i/>
          <w:iCs/>
          <w:sz w:val="20"/>
          <w:szCs w:val="20"/>
        </w:rPr>
        <w:t>supra</w:t>
      </w:r>
      <w:r w:rsidRPr="00956011">
        <w:rPr>
          <w:sz w:val="20"/>
          <w:szCs w:val="20"/>
        </w:rPr>
        <w:t xml:space="preserve"> note 5, at 37-38.</w:t>
      </w:r>
    </w:p>
  </w:endnote>
  <w:endnote w:id="8">
    <w:p w14:paraId="0000002B" w14:textId="23873C3A" w:rsidR="00956011" w:rsidRPr="00956011" w:rsidRDefault="00956011">
      <w:pPr>
        <w:spacing w:line="240" w:lineRule="auto"/>
        <w:rPr>
          <w:sz w:val="20"/>
          <w:szCs w:val="20"/>
        </w:rPr>
      </w:pPr>
      <w:r w:rsidRPr="00956011">
        <w:rPr>
          <w:vertAlign w:val="superscript"/>
        </w:rPr>
        <w:endnoteRef/>
      </w:r>
      <w:r w:rsidRPr="00956011">
        <w:rPr>
          <w:sz w:val="20"/>
          <w:szCs w:val="20"/>
        </w:rPr>
        <w:t xml:space="preserve"> </w:t>
      </w:r>
      <w:r w:rsidRPr="00956011">
        <w:rPr>
          <w:i/>
          <w:iCs/>
          <w:sz w:val="20"/>
          <w:szCs w:val="20"/>
        </w:rPr>
        <w:t>Id.</w:t>
      </w:r>
      <w:r w:rsidRPr="00956011">
        <w:rPr>
          <w:sz w:val="20"/>
          <w:szCs w:val="20"/>
        </w:rPr>
        <w:t xml:space="preserve"> at 38.</w:t>
      </w:r>
    </w:p>
  </w:endnote>
  <w:endnote w:id="9">
    <w:p w14:paraId="0000002C" w14:textId="400F27CA" w:rsidR="00956011" w:rsidRPr="00956011" w:rsidRDefault="00956011">
      <w:pPr>
        <w:spacing w:line="240" w:lineRule="auto"/>
        <w:rPr>
          <w:sz w:val="20"/>
          <w:szCs w:val="20"/>
        </w:rPr>
      </w:pPr>
      <w:r w:rsidRPr="00956011">
        <w:rPr>
          <w:vertAlign w:val="superscript"/>
        </w:rPr>
        <w:endnoteRef/>
      </w:r>
      <w:r w:rsidRPr="00956011">
        <w:rPr>
          <w:sz w:val="20"/>
          <w:szCs w:val="20"/>
        </w:rPr>
        <w:t xml:space="preserve"> </w:t>
      </w:r>
      <w:r w:rsidRPr="00956011">
        <w:rPr>
          <w:i/>
          <w:iCs/>
          <w:sz w:val="20"/>
          <w:szCs w:val="20"/>
        </w:rPr>
        <w:t>Id.</w:t>
      </w:r>
    </w:p>
  </w:endnote>
  <w:endnote w:id="10">
    <w:p w14:paraId="0000002D" w14:textId="47DA06F4" w:rsidR="00956011" w:rsidRPr="00956011" w:rsidRDefault="00956011">
      <w:pPr>
        <w:spacing w:line="240" w:lineRule="auto"/>
        <w:rPr>
          <w:sz w:val="20"/>
          <w:szCs w:val="20"/>
        </w:rPr>
      </w:pPr>
      <w:r w:rsidRPr="00956011">
        <w:rPr>
          <w:vertAlign w:val="superscript"/>
        </w:rPr>
        <w:endnoteRef/>
      </w:r>
      <w:r w:rsidRPr="00956011">
        <w:rPr>
          <w:sz w:val="20"/>
          <w:szCs w:val="20"/>
        </w:rPr>
        <w:t xml:space="preserve"> </w:t>
      </w:r>
      <w:r w:rsidRPr="00956011">
        <w:rPr>
          <w:i/>
          <w:iCs/>
          <w:sz w:val="20"/>
          <w:szCs w:val="20"/>
        </w:rPr>
        <w:t>Id.</w:t>
      </w:r>
    </w:p>
  </w:endnote>
  <w:endnote w:id="11">
    <w:p w14:paraId="0000002E" w14:textId="7C543915" w:rsidR="00956011" w:rsidRPr="00956011" w:rsidRDefault="00956011">
      <w:pPr>
        <w:spacing w:line="240" w:lineRule="auto"/>
        <w:rPr>
          <w:sz w:val="20"/>
          <w:szCs w:val="20"/>
        </w:rPr>
      </w:pPr>
      <w:r w:rsidRPr="00956011">
        <w:rPr>
          <w:vertAlign w:val="superscript"/>
        </w:rPr>
        <w:endnoteRef/>
      </w:r>
      <w:r w:rsidRPr="00956011">
        <w:rPr>
          <w:sz w:val="20"/>
          <w:szCs w:val="20"/>
        </w:rPr>
        <w:t xml:space="preserve"> Convention on the Civil Aspects of International Child Abduction Introduction, art. 1, Oct. 25, 1980, T.I.A.S. No.</w:t>
      </w:r>
      <w:r w:rsidRPr="00956011">
        <w:t xml:space="preserve"> </w:t>
      </w:r>
      <w:r w:rsidRPr="00956011">
        <w:rPr>
          <w:sz w:val="20"/>
          <w:szCs w:val="20"/>
        </w:rPr>
        <w:t>11,670.</w:t>
      </w:r>
    </w:p>
  </w:endnote>
  <w:endnote w:id="12">
    <w:p w14:paraId="0000002F" w14:textId="1CD8A35A" w:rsidR="00956011" w:rsidRPr="00956011" w:rsidRDefault="00956011">
      <w:pPr>
        <w:spacing w:line="240" w:lineRule="auto"/>
        <w:rPr>
          <w:sz w:val="20"/>
          <w:szCs w:val="20"/>
        </w:rPr>
      </w:pPr>
      <w:r w:rsidRPr="00956011">
        <w:rPr>
          <w:vertAlign w:val="superscript"/>
        </w:rPr>
        <w:endnoteRef/>
      </w:r>
      <w:r w:rsidRPr="00956011">
        <w:rPr>
          <w:sz w:val="20"/>
          <w:szCs w:val="20"/>
        </w:rPr>
        <w:t xml:space="preserve"> </w:t>
      </w:r>
      <w:r w:rsidRPr="00956011">
        <w:rPr>
          <w:i/>
          <w:iCs/>
          <w:sz w:val="20"/>
          <w:szCs w:val="20"/>
        </w:rPr>
        <w:t>Id.</w:t>
      </w:r>
      <w:r w:rsidRPr="00956011">
        <w:rPr>
          <w:sz w:val="20"/>
          <w:szCs w:val="20"/>
        </w:rPr>
        <w:t xml:space="preserve"> at art. 6, 4.</w:t>
      </w:r>
    </w:p>
  </w:endnote>
  <w:endnote w:id="13">
    <w:p w14:paraId="0F6C201A" w14:textId="6EB92D92" w:rsidR="00956011" w:rsidRPr="00956011" w:rsidRDefault="00956011" w:rsidP="00C86A99">
      <w:pPr>
        <w:spacing w:line="240" w:lineRule="auto"/>
        <w:rPr>
          <w:i/>
          <w:iCs/>
          <w:sz w:val="20"/>
          <w:szCs w:val="20"/>
        </w:rPr>
      </w:pPr>
      <w:r w:rsidRPr="00956011">
        <w:rPr>
          <w:vertAlign w:val="superscript"/>
        </w:rPr>
        <w:endnoteRef/>
      </w:r>
      <w:r w:rsidRPr="00956011">
        <w:rPr>
          <w:sz w:val="20"/>
          <w:szCs w:val="20"/>
        </w:rPr>
        <w:t xml:space="preserve"> Valentina </w:t>
      </w:r>
      <w:proofErr w:type="spellStart"/>
      <w:r w:rsidRPr="00956011">
        <w:rPr>
          <w:sz w:val="20"/>
          <w:szCs w:val="20"/>
        </w:rPr>
        <w:t>Shaknes</w:t>
      </w:r>
      <w:proofErr w:type="spellEnd"/>
      <w:r w:rsidRPr="00956011">
        <w:rPr>
          <w:sz w:val="20"/>
          <w:szCs w:val="20"/>
        </w:rPr>
        <w:t xml:space="preserve">, Justine Stringer, et. al., </w:t>
      </w:r>
      <w:r w:rsidRPr="00956011">
        <w:rPr>
          <w:i/>
          <w:iCs/>
          <w:sz w:val="20"/>
          <w:szCs w:val="20"/>
        </w:rPr>
        <w:t>Women's Rights and Child Abductions Under the</w:t>
      </w:r>
    </w:p>
    <w:p w14:paraId="00000030" w14:textId="7AE1B5F6" w:rsidR="00956011" w:rsidRPr="00956011" w:rsidRDefault="00956011">
      <w:pPr>
        <w:spacing w:line="240" w:lineRule="auto"/>
        <w:rPr>
          <w:sz w:val="20"/>
          <w:szCs w:val="20"/>
        </w:rPr>
      </w:pPr>
      <w:r w:rsidRPr="00956011">
        <w:rPr>
          <w:i/>
          <w:iCs/>
          <w:sz w:val="20"/>
          <w:szCs w:val="20"/>
        </w:rPr>
        <w:t>Hague Convention</w:t>
      </w:r>
      <w:r w:rsidRPr="00956011">
        <w:rPr>
          <w:sz w:val="20"/>
          <w:szCs w:val="20"/>
        </w:rPr>
        <w:t xml:space="preserve">, 22 Int J Appl </w:t>
      </w:r>
      <w:proofErr w:type="spellStart"/>
      <w:r w:rsidRPr="00956011">
        <w:rPr>
          <w:sz w:val="20"/>
          <w:szCs w:val="20"/>
        </w:rPr>
        <w:t>Psychoanal</w:t>
      </w:r>
      <w:proofErr w:type="spellEnd"/>
      <w:r w:rsidRPr="00956011">
        <w:rPr>
          <w:sz w:val="20"/>
          <w:szCs w:val="20"/>
        </w:rPr>
        <w:t xml:space="preserve"> Studies 495, 496 (2023).</w:t>
      </w:r>
    </w:p>
  </w:endnote>
  <w:endnote w:id="14">
    <w:p w14:paraId="00000031" w14:textId="3274A824" w:rsidR="00956011" w:rsidRPr="00956011" w:rsidRDefault="00956011">
      <w:pPr>
        <w:spacing w:line="240" w:lineRule="auto"/>
        <w:rPr>
          <w:sz w:val="20"/>
          <w:szCs w:val="20"/>
        </w:rPr>
      </w:pPr>
      <w:r w:rsidRPr="00956011">
        <w:rPr>
          <w:vertAlign w:val="superscript"/>
        </w:rPr>
        <w:endnoteRef/>
      </w:r>
      <w:r w:rsidRPr="00956011">
        <w:rPr>
          <w:sz w:val="20"/>
          <w:szCs w:val="20"/>
        </w:rPr>
        <w:t xml:space="preserve"> Convention on the Civil Aspects of International Child Abduction Introduction, </w:t>
      </w:r>
      <w:r w:rsidRPr="00956011">
        <w:rPr>
          <w:i/>
          <w:iCs/>
          <w:sz w:val="20"/>
          <w:szCs w:val="20"/>
        </w:rPr>
        <w:t>supra</w:t>
      </w:r>
      <w:r w:rsidRPr="00956011">
        <w:rPr>
          <w:sz w:val="20"/>
          <w:szCs w:val="20"/>
        </w:rPr>
        <w:t xml:space="preserve"> note 11, at art. 8.</w:t>
      </w:r>
    </w:p>
  </w:endnote>
  <w:endnote w:id="15">
    <w:p w14:paraId="00000032" w14:textId="19AB3B44" w:rsidR="00956011" w:rsidRPr="00956011" w:rsidRDefault="00956011">
      <w:pPr>
        <w:spacing w:line="240" w:lineRule="auto"/>
        <w:rPr>
          <w:sz w:val="20"/>
          <w:szCs w:val="20"/>
        </w:rPr>
      </w:pPr>
      <w:r w:rsidRPr="00956011">
        <w:rPr>
          <w:vertAlign w:val="superscript"/>
        </w:rPr>
        <w:endnoteRef/>
      </w:r>
      <w:r w:rsidRPr="00956011">
        <w:rPr>
          <w:sz w:val="20"/>
          <w:szCs w:val="20"/>
        </w:rPr>
        <w:t xml:space="preserve"> </w:t>
      </w:r>
      <w:r w:rsidRPr="00956011">
        <w:rPr>
          <w:i/>
          <w:iCs/>
          <w:sz w:val="20"/>
          <w:szCs w:val="20"/>
        </w:rPr>
        <w:t>Id.</w:t>
      </w:r>
      <w:r w:rsidRPr="00956011">
        <w:rPr>
          <w:sz w:val="20"/>
          <w:szCs w:val="20"/>
        </w:rPr>
        <w:t xml:space="preserve"> at art. 11.</w:t>
      </w:r>
    </w:p>
  </w:endnote>
  <w:endnote w:id="16">
    <w:p w14:paraId="0000003D" w14:textId="3AE99F73" w:rsidR="00956011" w:rsidRPr="00956011" w:rsidRDefault="00956011">
      <w:pPr>
        <w:spacing w:line="240" w:lineRule="auto"/>
        <w:rPr>
          <w:sz w:val="20"/>
          <w:szCs w:val="20"/>
        </w:rPr>
      </w:pPr>
      <w:r w:rsidRPr="00956011">
        <w:rPr>
          <w:vertAlign w:val="superscript"/>
        </w:rPr>
        <w:endnoteRef/>
      </w:r>
      <w:r w:rsidRPr="00956011">
        <w:rPr>
          <w:sz w:val="20"/>
          <w:szCs w:val="20"/>
        </w:rPr>
        <w:t xml:space="preserve"> </w:t>
      </w:r>
      <w:bookmarkStart w:id="0" w:name="_Hlk213025973"/>
      <w:proofErr w:type="spellStart"/>
      <w:r w:rsidRPr="00956011">
        <w:rPr>
          <w:sz w:val="20"/>
          <w:szCs w:val="20"/>
        </w:rPr>
        <w:t>Shaknes</w:t>
      </w:r>
      <w:proofErr w:type="spellEnd"/>
      <w:r w:rsidRPr="00956011">
        <w:rPr>
          <w:sz w:val="20"/>
          <w:szCs w:val="20"/>
        </w:rPr>
        <w:t xml:space="preserve">, </w:t>
      </w:r>
      <w:r w:rsidRPr="00956011">
        <w:rPr>
          <w:i/>
          <w:iCs/>
          <w:sz w:val="20"/>
          <w:szCs w:val="20"/>
        </w:rPr>
        <w:t>supra</w:t>
      </w:r>
      <w:r w:rsidRPr="00956011">
        <w:rPr>
          <w:sz w:val="20"/>
          <w:szCs w:val="20"/>
        </w:rPr>
        <w:t xml:space="preserve"> note 13, at 496.</w:t>
      </w:r>
    </w:p>
    <w:bookmarkEnd w:id="0"/>
  </w:endnote>
  <w:endnote w:id="17">
    <w:p w14:paraId="00000033" w14:textId="48D5D903" w:rsidR="00956011" w:rsidRPr="00956011" w:rsidRDefault="00956011">
      <w:pPr>
        <w:spacing w:line="240" w:lineRule="auto"/>
        <w:rPr>
          <w:sz w:val="20"/>
          <w:szCs w:val="20"/>
        </w:rPr>
      </w:pPr>
      <w:r w:rsidRPr="00956011">
        <w:rPr>
          <w:vertAlign w:val="superscript"/>
        </w:rPr>
        <w:endnoteRef/>
      </w:r>
      <w:r w:rsidRPr="00956011">
        <w:rPr>
          <w:sz w:val="20"/>
          <w:szCs w:val="20"/>
        </w:rPr>
        <w:t xml:space="preserve"> </w:t>
      </w:r>
      <w:r w:rsidRPr="00956011">
        <w:rPr>
          <w:i/>
          <w:iCs/>
          <w:sz w:val="20"/>
          <w:szCs w:val="20"/>
        </w:rPr>
        <w:t>See generally</w:t>
      </w:r>
      <w:r w:rsidRPr="00956011">
        <w:rPr>
          <w:sz w:val="20"/>
          <w:szCs w:val="20"/>
        </w:rPr>
        <w:t xml:space="preserve"> Convention on the Civil Aspects of International Child Abduction Introduction, </w:t>
      </w:r>
      <w:r w:rsidRPr="00956011">
        <w:rPr>
          <w:i/>
          <w:iCs/>
          <w:sz w:val="20"/>
          <w:szCs w:val="20"/>
        </w:rPr>
        <w:t>supra</w:t>
      </w:r>
      <w:r w:rsidRPr="00956011">
        <w:rPr>
          <w:sz w:val="20"/>
          <w:szCs w:val="20"/>
        </w:rPr>
        <w:t xml:space="preserve"> note 11.</w:t>
      </w:r>
    </w:p>
  </w:endnote>
  <w:endnote w:id="18">
    <w:p w14:paraId="00000034" w14:textId="768C85DC" w:rsidR="00956011" w:rsidRPr="00956011" w:rsidRDefault="00956011">
      <w:pPr>
        <w:spacing w:line="240" w:lineRule="auto"/>
        <w:rPr>
          <w:sz w:val="20"/>
          <w:szCs w:val="20"/>
        </w:rPr>
      </w:pPr>
      <w:r w:rsidRPr="00956011">
        <w:rPr>
          <w:vertAlign w:val="superscript"/>
        </w:rPr>
        <w:endnoteRef/>
      </w:r>
      <w:r w:rsidRPr="00956011">
        <w:rPr>
          <w:sz w:val="20"/>
          <w:szCs w:val="20"/>
        </w:rPr>
        <w:t xml:space="preserve"> </w:t>
      </w:r>
      <w:r w:rsidRPr="00956011">
        <w:rPr>
          <w:i/>
          <w:iCs/>
          <w:sz w:val="20"/>
          <w:szCs w:val="20"/>
        </w:rPr>
        <w:t>Id.</w:t>
      </w:r>
      <w:r w:rsidRPr="00956011">
        <w:rPr>
          <w:sz w:val="20"/>
          <w:szCs w:val="20"/>
        </w:rPr>
        <w:t xml:space="preserve"> at art. 12.</w:t>
      </w:r>
    </w:p>
  </w:endnote>
  <w:endnote w:id="19">
    <w:p w14:paraId="00000035" w14:textId="79138A6A" w:rsidR="00956011" w:rsidRPr="00956011" w:rsidRDefault="00956011">
      <w:pPr>
        <w:spacing w:line="240" w:lineRule="auto"/>
        <w:rPr>
          <w:sz w:val="20"/>
          <w:szCs w:val="20"/>
        </w:rPr>
      </w:pPr>
      <w:r w:rsidRPr="00956011">
        <w:rPr>
          <w:vertAlign w:val="superscript"/>
        </w:rPr>
        <w:endnoteRef/>
      </w:r>
      <w:r w:rsidRPr="00956011">
        <w:rPr>
          <w:sz w:val="20"/>
          <w:szCs w:val="20"/>
        </w:rPr>
        <w:t xml:space="preserve"> </w:t>
      </w:r>
      <w:r w:rsidRPr="00956011">
        <w:rPr>
          <w:i/>
          <w:iCs/>
          <w:sz w:val="20"/>
          <w:szCs w:val="20"/>
        </w:rPr>
        <w:t>Id.</w:t>
      </w:r>
      <w:r w:rsidRPr="00956011">
        <w:rPr>
          <w:sz w:val="20"/>
          <w:szCs w:val="20"/>
        </w:rPr>
        <w:t xml:space="preserve"> at art. 13.</w:t>
      </w:r>
    </w:p>
  </w:endnote>
  <w:endnote w:id="20">
    <w:p w14:paraId="00000036" w14:textId="39244BFD" w:rsidR="00956011" w:rsidRPr="00956011" w:rsidRDefault="00956011">
      <w:pPr>
        <w:spacing w:line="240" w:lineRule="auto"/>
        <w:rPr>
          <w:sz w:val="20"/>
          <w:szCs w:val="20"/>
        </w:rPr>
      </w:pPr>
      <w:r w:rsidRPr="00956011">
        <w:rPr>
          <w:vertAlign w:val="superscript"/>
        </w:rPr>
        <w:endnoteRef/>
      </w:r>
      <w:r w:rsidRPr="00956011">
        <w:rPr>
          <w:sz w:val="20"/>
          <w:szCs w:val="20"/>
        </w:rPr>
        <w:t xml:space="preserve"> </w:t>
      </w:r>
      <w:r w:rsidRPr="00956011">
        <w:rPr>
          <w:i/>
          <w:iCs/>
          <w:sz w:val="20"/>
          <w:szCs w:val="20"/>
        </w:rPr>
        <w:t>Id.</w:t>
      </w:r>
      <w:r w:rsidRPr="00956011">
        <w:rPr>
          <w:sz w:val="20"/>
          <w:szCs w:val="20"/>
        </w:rPr>
        <w:t xml:space="preserve"> at art. 20.</w:t>
      </w:r>
    </w:p>
  </w:endnote>
  <w:endnote w:id="21">
    <w:p w14:paraId="00000037" w14:textId="1550E486" w:rsidR="00956011" w:rsidRPr="00956011" w:rsidRDefault="00956011">
      <w:pPr>
        <w:spacing w:line="240" w:lineRule="auto"/>
        <w:rPr>
          <w:sz w:val="20"/>
          <w:szCs w:val="20"/>
        </w:rPr>
      </w:pPr>
      <w:r w:rsidRPr="00956011">
        <w:rPr>
          <w:vertAlign w:val="superscript"/>
        </w:rPr>
        <w:endnoteRef/>
      </w:r>
      <w:r w:rsidRPr="00956011">
        <w:rPr>
          <w:color w:val="1155CC"/>
          <w:sz w:val="20"/>
          <w:szCs w:val="20"/>
        </w:rPr>
        <w:t xml:space="preserve"> </w:t>
      </w:r>
      <w:r w:rsidRPr="00956011">
        <w:rPr>
          <w:i/>
          <w:iCs/>
          <w:sz w:val="20"/>
          <w:szCs w:val="20"/>
        </w:rPr>
        <w:t>Convention of 25 October 1980 on the Civil Aspects of International Child Abduction: Status Table</w:t>
      </w:r>
      <w:r w:rsidRPr="00956011">
        <w:rPr>
          <w:sz w:val="20"/>
          <w:szCs w:val="20"/>
        </w:rPr>
        <w:t xml:space="preserve">, </w:t>
      </w:r>
      <w:r w:rsidRPr="00956011">
        <w:rPr>
          <w:smallCaps/>
          <w:sz w:val="20"/>
          <w:szCs w:val="20"/>
        </w:rPr>
        <w:t>Hague Conf. on Priv. Int’l L.</w:t>
      </w:r>
      <w:r w:rsidRPr="00956011">
        <w:rPr>
          <w:sz w:val="20"/>
          <w:szCs w:val="20"/>
        </w:rPr>
        <w:t xml:space="preserve"> (Nov. 14, 2022) </w:t>
      </w:r>
      <w:hyperlink r:id="rId2" w:history="1">
        <w:r w:rsidRPr="00956011">
          <w:rPr>
            <w:rStyle w:val="Hyperlink"/>
            <w:color w:val="auto"/>
            <w:sz w:val="20"/>
            <w:szCs w:val="20"/>
            <w:u w:val="none"/>
          </w:rPr>
          <w:t>https://www.hcch.net/en/instruments/conventions/status-table/?cid=24</w:t>
        </w:r>
      </w:hyperlink>
      <w:r w:rsidRPr="00956011">
        <w:rPr>
          <w:sz w:val="20"/>
          <w:szCs w:val="20"/>
        </w:rPr>
        <w:t xml:space="preserve"> [https://perma.cc/8C9Q-WR5P].</w:t>
      </w:r>
    </w:p>
  </w:endnote>
  <w:endnote w:id="22">
    <w:p w14:paraId="00000039" w14:textId="5E1C33A5" w:rsidR="00956011" w:rsidRPr="00956011" w:rsidRDefault="00956011">
      <w:pPr>
        <w:spacing w:line="240" w:lineRule="auto"/>
        <w:rPr>
          <w:sz w:val="20"/>
          <w:szCs w:val="20"/>
        </w:rPr>
      </w:pPr>
      <w:r w:rsidRPr="00956011">
        <w:rPr>
          <w:vertAlign w:val="superscript"/>
        </w:rPr>
        <w:endnoteRef/>
      </w:r>
      <w:r w:rsidRPr="00956011">
        <w:rPr>
          <w:sz w:val="20"/>
          <w:szCs w:val="20"/>
        </w:rPr>
        <w:t xml:space="preserve"> Monteiro, </w:t>
      </w:r>
      <w:r w:rsidRPr="00956011">
        <w:rPr>
          <w:i/>
          <w:iCs/>
          <w:sz w:val="20"/>
          <w:szCs w:val="20"/>
        </w:rPr>
        <w:t>supra</w:t>
      </w:r>
      <w:r w:rsidRPr="00956011">
        <w:rPr>
          <w:sz w:val="20"/>
          <w:szCs w:val="20"/>
        </w:rPr>
        <w:t xml:space="preserve"> note 5, at 38.</w:t>
      </w:r>
    </w:p>
  </w:endnote>
  <w:endnote w:id="23">
    <w:p w14:paraId="0000003A" w14:textId="5826A8C4" w:rsidR="00956011" w:rsidRPr="00956011" w:rsidRDefault="00956011">
      <w:pPr>
        <w:spacing w:line="240" w:lineRule="auto"/>
        <w:rPr>
          <w:sz w:val="20"/>
          <w:szCs w:val="20"/>
        </w:rPr>
      </w:pPr>
      <w:r w:rsidRPr="00956011">
        <w:rPr>
          <w:vertAlign w:val="superscript"/>
        </w:rPr>
        <w:endnoteRef/>
      </w:r>
      <w:r w:rsidRPr="00956011">
        <w:rPr>
          <w:sz w:val="20"/>
          <w:szCs w:val="20"/>
        </w:rPr>
        <w:t xml:space="preserve"> </w:t>
      </w:r>
      <w:r w:rsidRPr="00956011">
        <w:rPr>
          <w:i/>
          <w:iCs/>
          <w:sz w:val="20"/>
          <w:szCs w:val="20"/>
        </w:rPr>
        <w:t>Id.</w:t>
      </w:r>
      <w:r w:rsidRPr="00956011">
        <w:rPr>
          <w:sz w:val="20"/>
          <w:szCs w:val="20"/>
        </w:rPr>
        <w:t xml:space="preserve"> at 40. </w:t>
      </w:r>
    </w:p>
  </w:endnote>
  <w:endnote w:id="24">
    <w:p w14:paraId="398D93A5" w14:textId="6A07BBE5" w:rsidR="00956011" w:rsidRPr="00956011" w:rsidRDefault="00956011" w:rsidP="00602AD2">
      <w:pPr>
        <w:spacing w:line="240" w:lineRule="auto"/>
        <w:rPr>
          <w:sz w:val="20"/>
          <w:szCs w:val="20"/>
        </w:rPr>
      </w:pPr>
      <w:r w:rsidRPr="00956011">
        <w:rPr>
          <w:vertAlign w:val="superscript"/>
        </w:rPr>
        <w:endnoteRef/>
      </w:r>
      <w:r w:rsidRPr="00956011">
        <w:rPr>
          <w:sz w:val="20"/>
          <w:szCs w:val="20"/>
        </w:rPr>
        <w:t xml:space="preserve"> Deborah Reece, </w:t>
      </w:r>
      <w:r w:rsidRPr="00956011">
        <w:rPr>
          <w:i/>
          <w:iCs/>
          <w:sz w:val="20"/>
          <w:szCs w:val="20"/>
        </w:rPr>
        <w:t>Exposure to Family Violence in Hague Child Abduction Cases</w:t>
      </w:r>
      <w:r w:rsidRPr="00956011">
        <w:rPr>
          <w:sz w:val="20"/>
          <w:szCs w:val="20"/>
        </w:rPr>
        <w:t xml:space="preserve">, 36 </w:t>
      </w:r>
      <w:r w:rsidRPr="00956011">
        <w:rPr>
          <w:smallCaps/>
          <w:sz w:val="20"/>
          <w:szCs w:val="20"/>
        </w:rPr>
        <w:t>Emory Int'l L. Rev.</w:t>
      </w:r>
      <w:r w:rsidRPr="00956011">
        <w:rPr>
          <w:sz w:val="20"/>
          <w:szCs w:val="20"/>
        </w:rPr>
        <w:t xml:space="preserve"> 81, 126</w:t>
      </w:r>
    </w:p>
    <w:p w14:paraId="0000003E" w14:textId="68C41576" w:rsidR="00956011" w:rsidRPr="00956011" w:rsidRDefault="00956011">
      <w:pPr>
        <w:spacing w:line="240" w:lineRule="auto"/>
        <w:rPr>
          <w:sz w:val="20"/>
          <w:szCs w:val="20"/>
        </w:rPr>
      </w:pPr>
      <w:r w:rsidRPr="00956011">
        <w:rPr>
          <w:sz w:val="20"/>
          <w:szCs w:val="20"/>
        </w:rPr>
        <w:t>(2022).</w:t>
      </w:r>
    </w:p>
  </w:endnote>
  <w:endnote w:id="25">
    <w:p w14:paraId="0000003F" w14:textId="37231F2E" w:rsidR="00956011" w:rsidRPr="00956011" w:rsidRDefault="00956011">
      <w:pPr>
        <w:spacing w:line="240" w:lineRule="auto"/>
        <w:rPr>
          <w:sz w:val="20"/>
          <w:szCs w:val="20"/>
        </w:rPr>
      </w:pPr>
      <w:r w:rsidRPr="00956011">
        <w:rPr>
          <w:vertAlign w:val="superscript"/>
        </w:rPr>
        <w:endnoteRef/>
      </w:r>
      <w:r w:rsidRPr="00956011">
        <w:rPr>
          <w:sz w:val="20"/>
          <w:szCs w:val="20"/>
        </w:rPr>
        <w:t xml:space="preserve"> </w:t>
      </w:r>
      <w:r w:rsidRPr="00956011">
        <w:rPr>
          <w:i/>
          <w:iCs/>
          <w:sz w:val="20"/>
          <w:szCs w:val="20"/>
        </w:rPr>
        <w:t>Id.</w:t>
      </w:r>
    </w:p>
  </w:endnote>
  <w:endnote w:id="26">
    <w:p w14:paraId="7551743B" w14:textId="77777777" w:rsidR="00956011" w:rsidRPr="00956011" w:rsidRDefault="00956011" w:rsidP="00602AD2">
      <w:pPr>
        <w:spacing w:line="240" w:lineRule="auto"/>
        <w:rPr>
          <w:i/>
          <w:iCs/>
          <w:sz w:val="20"/>
          <w:szCs w:val="20"/>
        </w:rPr>
      </w:pPr>
      <w:r w:rsidRPr="00956011">
        <w:rPr>
          <w:vertAlign w:val="superscript"/>
        </w:rPr>
        <w:endnoteRef/>
      </w:r>
      <w:r w:rsidRPr="00956011">
        <w:rPr>
          <w:sz w:val="20"/>
          <w:szCs w:val="20"/>
        </w:rPr>
        <w:t xml:space="preserve"> Katarina Trimmings, </w:t>
      </w:r>
      <w:proofErr w:type="spellStart"/>
      <w:r w:rsidRPr="00956011">
        <w:rPr>
          <w:sz w:val="20"/>
          <w:szCs w:val="20"/>
        </w:rPr>
        <w:t>Onyója</w:t>
      </w:r>
      <w:proofErr w:type="spellEnd"/>
      <w:r w:rsidRPr="00956011">
        <w:rPr>
          <w:sz w:val="20"/>
          <w:szCs w:val="20"/>
        </w:rPr>
        <w:t xml:space="preserve"> Momoh, et. al., </w:t>
      </w:r>
      <w:r w:rsidRPr="00956011">
        <w:rPr>
          <w:i/>
          <w:iCs/>
          <w:sz w:val="20"/>
          <w:szCs w:val="20"/>
        </w:rPr>
        <w:t>The Interplay between the 1980 Hague Convention on the Civil</w:t>
      </w:r>
    </w:p>
    <w:p w14:paraId="0000003B" w14:textId="4ADE05B8" w:rsidR="00956011" w:rsidRPr="00956011" w:rsidRDefault="00956011">
      <w:pPr>
        <w:spacing w:line="240" w:lineRule="auto"/>
        <w:rPr>
          <w:sz w:val="20"/>
          <w:szCs w:val="20"/>
        </w:rPr>
      </w:pPr>
      <w:r w:rsidRPr="00956011">
        <w:rPr>
          <w:i/>
          <w:iCs/>
          <w:sz w:val="20"/>
          <w:szCs w:val="20"/>
        </w:rPr>
        <w:t>Aspects of International Child Abduction and Domestic Violence</w:t>
      </w:r>
      <w:r w:rsidRPr="00956011">
        <w:rPr>
          <w:sz w:val="20"/>
          <w:szCs w:val="20"/>
        </w:rPr>
        <w:t xml:space="preserve">, 12 </w:t>
      </w:r>
      <w:r w:rsidRPr="00956011">
        <w:rPr>
          <w:smallCaps/>
          <w:sz w:val="20"/>
          <w:szCs w:val="20"/>
        </w:rPr>
        <w:t>Univ. of Aberdeen Sch. of L. L.</w:t>
      </w:r>
      <w:r w:rsidRPr="00956011">
        <w:rPr>
          <w:sz w:val="20"/>
          <w:szCs w:val="20"/>
        </w:rPr>
        <w:t xml:space="preserve"> 1, 2 (2023).</w:t>
      </w:r>
    </w:p>
  </w:endnote>
  <w:endnote w:id="27">
    <w:p w14:paraId="0000003C" w14:textId="2BD6342E" w:rsidR="00956011" w:rsidRPr="00956011" w:rsidRDefault="00956011">
      <w:pPr>
        <w:spacing w:line="240" w:lineRule="auto"/>
        <w:rPr>
          <w:sz w:val="20"/>
          <w:szCs w:val="20"/>
        </w:rPr>
      </w:pPr>
      <w:r w:rsidRPr="00956011">
        <w:rPr>
          <w:vertAlign w:val="superscript"/>
        </w:rPr>
        <w:endnoteRef/>
      </w:r>
      <w:r w:rsidRPr="00956011">
        <w:rPr>
          <w:sz w:val="20"/>
          <w:szCs w:val="20"/>
        </w:rPr>
        <w:t xml:space="preserve"> </w:t>
      </w:r>
      <w:r w:rsidRPr="00956011">
        <w:rPr>
          <w:i/>
          <w:iCs/>
          <w:sz w:val="20"/>
          <w:szCs w:val="20"/>
        </w:rPr>
        <w:t>Id.</w:t>
      </w:r>
      <w:r w:rsidRPr="00956011">
        <w:rPr>
          <w:sz w:val="20"/>
          <w:szCs w:val="20"/>
        </w:rPr>
        <w:t xml:space="preserve"> at 5.</w:t>
      </w:r>
    </w:p>
  </w:endnote>
  <w:endnote w:id="28">
    <w:p w14:paraId="00000040" w14:textId="4E7C9BAE" w:rsidR="00956011" w:rsidRPr="00956011" w:rsidRDefault="00956011">
      <w:pPr>
        <w:spacing w:line="240" w:lineRule="auto"/>
        <w:rPr>
          <w:sz w:val="20"/>
          <w:szCs w:val="20"/>
        </w:rPr>
      </w:pPr>
      <w:r w:rsidRPr="00956011">
        <w:rPr>
          <w:vertAlign w:val="superscript"/>
        </w:rPr>
        <w:endnoteRef/>
      </w:r>
      <w:r w:rsidRPr="00956011">
        <w:rPr>
          <w:sz w:val="20"/>
          <w:szCs w:val="20"/>
        </w:rPr>
        <w:t xml:space="preserve"> </w:t>
      </w:r>
      <w:proofErr w:type="spellStart"/>
      <w:r w:rsidRPr="00956011">
        <w:rPr>
          <w:sz w:val="20"/>
          <w:szCs w:val="20"/>
        </w:rPr>
        <w:t>Shaknes</w:t>
      </w:r>
      <w:proofErr w:type="spellEnd"/>
      <w:r w:rsidRPr="00956011">
        <w:rPr>
          <w:sz w:val="20"/>
          <w:szCs w:val="20"/>
        </w:rPr>
        <w:t xml:space="preserve">, </w:t>
      </w:r>
      <w:r w:rsidRPr="00956011">
        <w:rPr>
          <w:i/>
          <w:iCs/>
          <w:sz w:val="20"/>
          <w:szCs w:val="20"/>
        </w:rPr>
        <w:t>supra</w:t>
      </w:r>
      <w:r w:rsidRPr="00956011">
        <w:rPr>
          <w:sz w:val="20"/>
          <w:szCs w:val="20"/>
        </w:rPr>
        <w:t xml:space="preserve"> note 13, at 497.</w:t>
      </w:r>
    </w:p>
  </w:endnote>
  <w:endnote w:id="29">
    <w:p w14:paraId="00000041" w14:textId="05407265" w:rsidR="00956011" w:rsidRPr="00956011" w:rsidRDefault="00956011">
      <w:pPr>
        <w:spacing w:line="240" w:lineRule="auto"/>
        <w:rPr>
          <w:sz w:val="20"/>
          <w:szCs w:val="20"/>
        </w:rPr>
      </w:pPr>
      <w:r w:rsidRPr="00956011">
        <w:rPr>
          <w:vertAlign w:val="superscript"/>
        </w:rPr>
        <w:endnoteRef/>
      </w:r>
      <w:r w:rsidRPr="00956011">
        <w:rPr>
          <w:sz w:val="20"/>
          <w:szCs w:val="20"/>
        </w:rPr>
        <w:t xml:space="preserve"> Trimmings, </w:t>
      </w:r>
      <w:r w:rsidRPr="00956011">
        <w:rPr>
          <w:i/>
          <w:iCs/>
          <w:sz w:val="20"/>
          <w:szCs w:val="20"/>
        </w:rPr>
        <w:t>supra</w:t>
      </w:r>
      <w:r w:rsidRPr="00956011">
        <w:rPr>
          <w:sz w:val="20"/>
          <w:szCs w:val="20"/>
        </w:rPr>
        <w:t xml:space="preserve"> note 26, at 5.</w:t>
      </w:r>
    </w:p>
  </w:endnote>
  <w:endnote w:id="30">
    <w:p w14:paraId="00000042" w14:textId="58193EE5" w:rsidR="00956011" w:rsidRPr="00956011" w:rsidRDefault="00956011">
      <w:pPr>
        <w:spacing w:line="240" w:lineRule="auto"/>
        <w:rPr>
          <w:sz w:val="20"/>
          <w:szCs w:val="20"/>
        </w:rPr>
      </w:pPr>
      <w:r w:rsidRPr="00956011">
        <w:rPr>
          <w:vertAlign w:val="superscript"/>
        </w:rPr>
        <w:endnoteRef/>
      </w:r>
      <w:r w:rsidRPr="00956011">
        <w:rPr>
          <w:sz w:val="20"/>
          <w:szCs w:val="20"/>
        </w:rPr>
        <w:t xml:space="preserve"> Monteiro, </w:t>
      </w:r>
      <w:r w:rsidRPr="00956011">
        <w:rPr>
          <w:i/>
          <w:iCs/>
          <w:sz w:val="20"/>
          <w:szCs w:val="20"/>
        </w:rPr>
        <w:t>supra</w:t>
      </w:r>
      <w:r w:rsidRPr="00956011">
        <w:rPr>
          <w:sz w:val="20"/>
          <w:szCs w:val="20"/>
        </w:rPr>
        <w:t xml:space="preserve"> note 5, at 40-41.</w:t>
      </w:r>
    </w:p>
  </w:endnote>
  <w:endnote w:id="31">
    <w:p w14:paraId="00000043" w14:textId="0E18BB56" w:rsidR="00956011" w:rsidRPr="00956011" w:rsidRDefault="00956011">
      <w:pPr>
        <w:spacing w:line="240" w:lineRule="auto"/>
        <w:rPr>
          <w:sz w:val="20"/>
          <w:szCs w:val="20"/>
        </w:rPr>
      </w:pPr>
      <w:r w:rsidRPr="00956011">
        <w:rPr>
          <w:vertAlign w:val="superscript"/>
        </w:rPr>
        <w:endnoteRef/>
      </w:r>
      <w:r w:rsidRPr="00956011">
        <w:rPr>
          <w:sz w:val="20"/>
          <w:szCs w:val="20"/>
        </w:rPr>
        <w:t xml:space="preserve"> Trimmings, </w:t>
      </w:r>
      <w:r w:rsidRPr="00956011">
        <w:rPr>
          <w:i/>
          <w:iCs/>
          <w:sz w:val="20"/>
          <w:szCs w:val="20"/>
        </w:rPr>
        <w:t>supra</w:t>
      </w:r>
      <w:r w:rsidRPr="00956011">
        <w:rPr>
          <w:sz w:val="20"/>
          <w:szCs w:val="20"/>
        </w:rPr>
        <w:t xml:space="preserve"> note 26, at 6.</w:t>
      </w:r>
    </w:p>
  </w:endnote>
  <w:endnote w:id="32">
    <w:p w14:paraId="00000044" w14:textId="51E3C14D" w:rsidR="00956011" w:rsidRPr="00956011" w:rsidRDefault="00956011">
      <w:pPr>
        <w:spacing w:line="240" w:lineRule="auto"/>
        <w:rPr>
          <w:sz w:val="20"/>
          <w:szCs w:val="20"/>
        </w:rPr>
      </w:pPr>
      <w:r w:rsidRPr="00956011">
        <w:rPr>
          <w:vertAlign w:val="superscript"/>
        </w:rPr>
        <w:endnoteRef/>
      </w:r>
      <w:r w:rsidRPr="00956011">
        <w:rPr>
          <w:sz w:val="20"/>
          <w:szCs w:val="20"/>
        </w:rPr>
        <w:t xml:space="preserve"> </w:t>
      </w:r>
      <w:r w:rsidRPr="00956011">
        <w:rPr>
          <w:i/>
          <w:iCs/>
          <w:sz w:val="20"/>
          <w:szCs w:val="20"/>
        </w:rPr>
        <w:t xml:space="preserve">Id. </w:t>
      </w:r>
      <w:r w:rsidRPr="00956011">
        <w:rPr>
          <w:sz w:val="20"/>
          <w:szCs w:val="20"/>
        </w:rPr>
        <w:t>at 2.</w:t>
      </w:r>
    </w:p>
  </w:endnote>
  <w:endnote w:id="33">
    <w:p w14:paraId="00000045" w14:textId="5B3ED4DD" w:rsidR="00956011" w:rsidRPr="00956011" w:rsidRDefault="00956011">
      <w:pPr>
        <w:spacing w:line="240" w:lineRule="auto"/>
        <w:rPr>
          <w:sz w:val="20"/>
          <w:szCs w:val="20"/>
        </w:rPr>
      </w:pPr>
      <w:r w:rsidRPr="00956011">
        <w:rPr>
          <w:vertAlign w:val="superscript"/>
        </w:rPr>
        <w:endnoteRef/>
      </w:r>
      <w:r w:rsidRPr="00956011">
        <w:rPr>
          <w:sz w:val="20"/>
          <w:szCs w:val="20"/>
        </w:rPr>
        <w:t xml:space="preserve"> </w:t>
      </w:r>
      <w:r w:rsidRPr="00956011">
        <w:rPr>
          <w:i/>
          <w:iCs/>
          <w:sz w:val="20"/>
          <w:szCs w:val="20"/>
        </w:rPr>
        <w:t xml:space="preserve">Id. </w:t>
      </w:r>
      <w:r w:rsidRPr="00956011">
        <w:rPr>
          <w:sz w:val="20"/>
          <w:szCs w:val="20"/>
        </w:rPr>
        <w:t>at 4-5.</w:t>
      </w:r>
    </w:p>
  </w:endnote>
  <w:endnote w:id="34">
    <w:p w14:paraId="00000046" w14:textId="4B2792ED" w:rsidR="00956011" w:rsidRPr="00956011" w:rsidRDefault="00956011">
      <w:pPr>
        <w:spacing w:line="240" w:lineRule="auto"/>
        <w:rPr>
          <w:sz w:val="20"/>
          <w:szCs w:val="20"/>
        </w:rPr>
      </w:pPr>
      <w:r w:rsidRPr="00956011">
        <w:rPr>
          <w:vertAlign w:val="superscript"/>
        </w:rPr>
        <w:endnoteRef/>
      </w:r>
      <w:r w:rsidRPr="00956011">
        <w:rPr>
          <w:sz w:val="20"/>
          <w:szCs w:val="20"/>
        </w:rPr>
        <w:t xml:space="preserve"> </w:t>
      </w:r>
      <w:r w:rsidRPr="00956011">
        <w:rPr>
          <w:i/>
          <w:iCs/>
          <w:sz w:val="20"/>
          <w:szCs w:val="20"/>
        </w:rPr>
        <w:t>Id.</w:t>
      </w:r>
      <w:r w:rsidRPr="00956011">
        <w:rPr>
          <w:sz w:val="20"/>
          <w:szCs w:val="20"/>
        </w:rPr>
        <w:t xml:space="preserve"> at 4.</w:t>
      </w:r>
    </w:p>
  </w:endnote>
  <w:endnote w:id="35">
    <w:p w14:paraId="00000062" w14:textId="1B22D3A3" w:rsidR="00956011" w:rsidRPr="00956011" w:rsidRDefault="00956011">
      <w:pPr>
        <w:spacing w:line="240" w:lineRule="auto"/>
        <w:rPr>
          <w:sz w:val="20"/>
          <w:szCs w:val="20"/>
        </w:rPr>
      </w:pPr>
      <w:r w:rsidRPr="00956011">
        <w:rPr>
          <w:vertAlign w:val="superscript"/>
        </w:rPr>
        <w:endnoteRef/>
      </w:r>
      <w:r w:rsidRPr="00956011">
        <w:rPr>
          <w:sz w:val="20"/>
          <w:szCs w:val="20"/>
        </w:rPr>
        <w:t xml:space="preserve"> Trimmings, </w:t>
      </w:r>
      <w:r w:rsidRPr="00956011">
        <w:rPr>
          <w:i/>
          <w:iCs/>
          <w:sz w:val="20"/>
          <w:szCs w:val="20"/>
        </w:rPr>
        <w:t>supra</w:t>
      </w:r>
      <w:r w:rsidRPr="00956011">
        <w:rPr>
          <w:sz w:val="20"/>
          <w:szCs w:val="20"/>
        </w:rPr>
        <w:t xml:space="preserve"> note 26, at 6.</w:t>
      </w:r>
    </w:p>
  </w:endnote>
  <w:endnote w:id="36">
    <w:p w14:paraId="00000047" w14:textId="74B0BBF4" w:rsidR="00956011" w:rsidRPr="00956011" w:rsidRDefault="00956011">
      <w:pPr>
        <w:spacing w:line="240" w:lineRule="auto"/>
        <w:rPr>
          <w:i/>
          <w:iCs/>
          <w:sz w:val="20"/>
          <w:szCs w:val="20"/>
        </w:rPr>
      </w:pPr>
      <w:r w:rsidRPr="00956011">
        <w:rPr>
          <w:vertAlign w:val="superscript"/>
        </w:rPr>
        <w:endnoteRef/>
      </w:r>
      <w:r w:rsidRPr="00956011">
        <w:rPr>
          <w:sz w:val="20"/>
          <w:szCs w:val="20"/>
        </w:rPr>
        <w:t xml:space="preserve"> </w:t>
      </w:r>
      <w:r w:rsidRPr="00956011">
        <w:rPr>
          <w:i/>
          <w:iCs/>
          <w:sz w:val="20"/>
          <w:szCs w:val="20"/>
        </w:rPr>
        <w:t xml:space="preserve">Id. </w:t>
      </w:r>
    </w:p>
  </w:endnote>
  <w:endnote w:id="37">
    <w:p w14:paraId="00000048" w14:textId="3AC54983" w:rsidR="00956011" w:rsidRPr="00956011" w:rsidRDefault="00956011">
      <w:pPr>
        <w:spacing w:line="240" w:lineRule="auto"/>
        <w:rPr>
          <w:sz w:val="20"/>
          <w:szCs w:val="20"/>
        </w:rPr>
      </w:pPr>
      <w:r w:rsidRPr="00956011">
        <w:rPr>
          <w:vertAlign w:val="superscript"/>
        </w:rPr>
        <w:endnoteRef/>
      </w:r>
      <w:r w:rsidRPr="00956011">
        <w:rPr>
          <w:sz w:val="20"/>
          <w:szCs w:val="20"/>
        </w:rPr>
        <w:t xml:space="preserve"> </w:t>
      </w:r>
      <w:r w:rsidRPr="00956011">
        <w:rPr>
          <w:i/>
          <w:iCs/>
          <w:sz w:val="20"/>
          <w:szCs w:val="20"/>
        </w:rPr>
        <w:t>Id.</w:t>
      </w:r>
      <w:r w:rsidRPr="00956011">
        <w:rPr>
          <w:sz w:val="20"/>
          <w:szCs w:val="20"/>
        </w:rPr>
        <w:t xml:space="preserve"> </w:t>
      </w:r>
    </w:p>
  </w:endnote>
  <w:endnote w:id="38">
    <w:p w14:paraId="00000049" w14:textId="6A9CAD51" w:rsidR="00956011" w:rsidRPr="00956011" w:rsidRDefault="00956011">
      <w:pPr>
        <w:spacing w:line="240" w:lineRule="auto"/>
        <w:rPr>
          <w:sz w:val="20"/>
          <w:szCs w:val="20"/>
        </w:rPr>
      </w:pPr>
      <w:r w:rsidRPr="00956011">
        <w:rPr>
          <w:vertAlign w:val="superscript"/>
        </w:rPr>
        <w:endnoteRef/>
      </w:r>
      <w:r w:rsidRPr="00956011">
        <w:rPr>
          <w:sz w:val="20"/>
          <w:szCs w:val="20"/>
        </w:rPr>
        <w:t xml:space="preserve"> Monteiro, </w:t>
      </w:r>
      <w:r w:rsidRPr="00956011">
        <w:rPr>
          <w:i/>
          <w:iCs/>
          <w:sz w:val="20"/>
          <w:szCs w:val="20"/>
        </w:rPr>
        <w:t>supra</w:t>
      </w:r>
      <w:r w:rsidRPr="00956011">
        <w:rPr>
          <w:sz w:val="20"/>
          <w:szCs w:val="20"/>
        </w:rPr>
        <w:t xml:space="preserve"> note 5, at 41.</w:t>
      </w:r>
    </w:p>
  </w:endnote>
  <w:endnote w:id="39">
    <w:p w14:paraId="0000004A" w14:textId="1FCE59D7" w:rsidR="00956011" w:rsidRPr="00956011" w:rsidRDefault="00956011">
      <w:pPr>
        <w:spacing w:line="240" w:lineRule="auto"/>
        <w:rPr>
          <w:sz w:val="20"/>
          <w:szCs w:val="20"/>
        </w:rPr>
      </w:pPr>
      <w:r w:rsidRPr="00956011">
        <w:rPr>
          <w:vertAlign w:val="superscript"/>
        </w:rPr>
        <w:endnoteRef/>
      </w:r>
      <w:r w:rsidRPr="00956011">
        <w:rPr>
          <w:sz w:val="20"/>
          <w:szCs w:val="20"/>
        </w:rPr>
        <w:t xml:space="preserve"> Trimmings, </w:t>
      </w:r>
      <w:r w:rsidRPr="00956011">
        <w:rPr>
          <w:i/>
          <w:iCs/>
          <w:sz w:val="20"/>
          <w:szCs w:val="20"/>
        </w:rPr>
        <w:t>supra</w:t>
      </w:r>
      <w:r w:rsidRPr="00956011">
        <w:rPr>
          <w:sz w:val="20"/>
          <w:szCs w:val="20"/>
        </w:rPr>
        <w:t xml:space="preserve"> note 26, at 4.</w:t>
      </w:r>
    </w:p>
  </w:endnote>
  <w:endnote w:id="40">
    <w:p w14:paraId="0000004B" w14:textId="5CECE75A" w:rsidR="00956011" w:rsidRPr="00956011" w:rsidRDefault="00956011">
      <w:pPr>
        <w:spacing w:line="240" w:lineRule="auto"/>
        <w:rPr>
          <w:sz w:val="20"/>
          <w:szCs w:val="20"/>
        </w:rPr>
      </w:pPr>
      <w:r w:rsidRPr="00956011">
        <w:rPr>
          <w:vertAlign w:val="superscript"/>
        </w:rPr>
        <w:endnoteRef/>
      </w:r>
      <w:r w:rsidRPr="00956011">
        <w:rPr>
          <w:sz w:val="20"/>
          <w:szCs w:val="20"/>
        </w:rPr>
        <w:t xml:space="preserve"> </w:t>
      </w:r>
      <w:proofErr w:type="spellStart"/>
      <w:r w:rsidRPr="00956011">
        <w:rPr>
          <w:sz w:val="20"/>
          <w:szCs w:val="20"/>
        </w:rPr>
        <w:t>Shaknes</w:t>
      </w:r>
      <w:proofErr w:type="spellEnd"/>
      <w:r w:rsidRPr="00956011">
        <w:rPr>
          <w:sz w:val="20"/>
          <w:szCs w:val="20"/>
        </w:rPr>
        <w:t xml:space="preserve">, </w:t>
      </w:r>
      <w:r w:rsidRPr="00956011">
        <w:rPr>
          <w:i/>
          <w:iCs/>
          <w:sz w:val="20"/>
          <w:szCs w:val="20"/>
        </w:rPr>
        <w:t>supra</w:t>
      </w:r>
      <w:r w:rsidRPr="00956011">
        <w:rPr>
          <w:sz w:val="20"/>
          <w:szCs w:val="20"/>
        </w:rPr>
        <w:t xml:space="preserve"> note 13, at 497.</w:t>
      </w:r>
    </w:p>
  </w:endnote>
  <w:endnote w:id="41">
    <w:p w14:paraId="0000004C" w14:textId="139B2415" w:rsidR="00956011" w:rsidRPr="00956011" w:rsidRDefault="00956011">
      <w:pPr>
        <w:spacing w:line="240" w:lineRule="auto"/>
        <w:rPr>
          <w:sz w:val="20"/>
          <w:szCs w:val="20"/>
        </w:rPr>
      </w:pPr>
      <w:r w:rsidRPr="00956011">
        <w:rPr>
          <w:vertAlign w:val="superscript"/>
        </w:rPr>
        <w:endnoteRef/>
      </w:r>
      <w:r w:rsidRPr="00956011">
        <w:rPr>
          <w:sz w:val="20"/>
          <w:szCs w:val="20"/>
        </w:rPr>
        <w:t xml:space="preserve"> Reece, </w:t>
      </w:r>
      <w:r w:rsidRPr="00956011">
        <w:rPr>
          <w:i/>
          <w:iCs/>
          <w:sz w:val="20"/>
          <w:szCs w:val="20"/>
        </w:rPr>
        <w:t>supra</w:t>
      </w:r>
      <w:r w:rsidRPr="00956011">
        <w:rPr>
          <w:sz w:val="20"/>
          <w:szCs w:val="20"/>
        </w:rPr>
        <w:t xml:space="preserve"> note 24, at 89-90.</w:t>
      </w:r>
    </w:p>
  </w:endnote>
  <w:endnote w:id="42">
    <w:p w14:paraId="0000004D" w14:textId="3EB0D409" w:rsidR="00956011" w:rsidRPr="00956011" w:rsidRDefault="00956011">
      <w:pPr>
        <w:spacing w:line="240" w:lineRule="auto"/>
        <w:rPr>
          <w:sz w:val="20"/>
          <w:szCs w:val="20"/>
        </w:rPr>
      </w:pPr>
      <w:r w:rsidRPr="00956011">
        <w:rPr>
          <w:vertAlign w:val="superscript"/>
        </w:rPr>
        <w:endnoteRef/>
      </w:r>
      <w:r w:rsidRPr="00956011">
        <w:rPr>
          <w:sz w:val="20"/>
          <w:szCs w:val="20"/>
        </w:rPr>
        <w:t xml:space="preserve"> </w:t>
      </w:r>
      <w:r w:rsidRPr="00956011">
        <w:rPr>
          <w:i/>
          <w:iCs/>
          <w:sz w:val="20"/>
          <w:szCs w:val="20"/>
        </w:rPr>
        <w:t>Id.</w:t>
      </w:r>
      <w:r w:rsidRPr="00956011">
        <w:rPr>
          <w:sz w:val="20"/>
          <w:szCs w:val="20"/>
        </w:rPr>
        <w:t xml:space="preserve"> at 90.</w:t>
      </w:r>
    </w:p>
  </w:endnote>
  <w:endnote w:id="43">
    <w:p w14:paraId="0000004E" w14:textId="12E50812" w:rsidR="00956011" w:rsidRPr="00956011" w:rsidRDefault="00956011">
      <w:pPr>
        <w:spacing w:line="240" w:lineRule="auto"/>
        <w:rPr>
          <w:sz w:val="20"/>
          <w:szCs w:val="20"/>
        </w:rPr>
      </w:pPr>
      <w:r w:rsidRPr="00956011">
        <w:rPr>
          <w:vertAlign w:val="superscript"/>
        </w:rPr>
        <w:endnoteRef/>
      </w:r>
      <w:r w:rsidRPr="00956011">
        <w:rPr>
          <w:sz w:val="20"/>
          <w:szCs w:val="20"/>
        </w:rPr>
        <w:t xml:space="preserve"> </w:t>
      </w:r>
      <w:proofErr w:type="spellStart"/>
      <w:r w:rsidRPr="00956011">
        <w:rPr>
          <w:sz w:val="20"/>
          <w:szCs w:val="20"/>
        </w:rPr>
        <w:t>Shaknes</w:t>
      </w:r>
      <w:proofErr w:type="spellEnd"/>
      <w:r w:rsidRPr="00956011">
        <w:rPr>
          <w:sz w:val="20"/>
          <w:szCs w:val="20"/>
        </w:rPr>
        <w:t xml:space="preserve">, </w:t>
      </w:r>
      <w:r w:rsidRPr="00956011">
        <w:rPr>
          <w:i/>
          <w:iCs/>
          <w:sz w:val="20"/>
          <w:szCs w:val="20"/>
        </w:rPr>
        <w:t>supra</w:t>
      </w:r>
      <w:r w:rsidRPr="00956011">
        <w:rPr>
          <w:sz w:val="20"/>
          <w:szCs w:val="20"/>
        </w:rPr>
        <w:t xml:space="preserve"> note 13, at 498.</w:t>
      </w:r>
    </w:p>
  </w:endnote>
  <w:endnote w:id="44">
    <w:p w14:paraId="0000004F" w14:textId="3F638599" w:rsidR="00956011" w:rsidRPr="00956011" w:rsidRDefault="00956011">
      <w:pPr>
        <w:spacing w:line="240" w:lineRule="auto"/>
        <w:rPr>
          <w:i/>
          <w:iCs/>
          <w:sz w:val="20"/>
          <w:szCs w:val="20"/>
        </w:rPr>
      </w:pPr>
      <w:r w:rsidRPr="00956011">
        <w:rPr>
          <w:vertAlign w:val="superscript"/>
        </w:rPr>
        <w:endnoteRef/>
      </w:r>
      <w:r w:rsidRPr="00956011">
        <w:rPr>
          <w:sz w:val="20"/>
          <w:szCs w:val="20"/>
        </w:rPr>
        <w:t xml:space="preserve"> </w:t>
      </w:r>
      <w:r w:rsidRPr="00956011">
        <w:rPr>
          <w:i/>
          <w:iCs/>
          <w:sz w:val="20"/>
          <w:szCs w:val="20"/>
        </w:rPr>
        <w:t xml:space="preserve">Id. </w:t>
      </w:r>
    </w:p>
  </w:endnote>
  <w:endnote w:id="45">
    <w:p w14:paraId="00000050" w14:textId="6F42C11B" w:rsidR="00956011" w:rsidRPr="00956011" w:rsidRDefault="00956011">
      <w:pPr>
        <w:spacing w:line="240" w:lineRule="auto"/>
        <w:rPr>
          <w:sz w:val="20"/>
          <w:szCs w:val="20"/>
        </w:rPr>
      </w:pPr>
      <w:r w:rsidRPr="00956011">
        <w:rPr>
          <w:vertAlign w:val="superscript"/>
        </w:rPr>
        <w:endnoteRef/>
      </w:r>
      <w:r w:rsidRPr="00956011">
        <w:rPr>
          <w:sz w:val="20"/>
          <w:szCs w:val="20"/>
        </w:rPr>
        <w:t xml:space="preserve"> </w:t>
      </w:r>
      <w:r w:rsidRPr="00956011">
        <w:rPr>
          <w:i/>
          <w:iCs/>
          <w:sz w:val="20"/>
          <w:szCs w:val="20"/>
        </w:rPr>
        <w:t>Id.</w:t>
      </w:r>
      <w:r w:rsidRPr="00956011">
        <w:rPr>
          <w:sz w:val="20"/>
          <w:szCs w:val="20"/>
        </w:rPr>
        <w:t xml:space="preserve"> at 500.</w:t>
      </w:r>
    </w:p>
  </w:endnote>
  <w:endnote w:id="46">
    <w:p w14:paraId="00000051" w14:textId="5AD97CBC" w:rsidR="00956011" w:rsidRPr="00956011" w:rsidRDefault="00956011">
      <w:pPr>
        <w:spacing w:line="240" w:lineRule="auto"/>
        <w:rPr>
          <w:sz w:val="20"/>
          <w:szCs w:val="20"/>
        </w:rPr>
      </w:pPr>
      <w:r w:rsidRPr="00956011">
        <w:rPr>
          <w:vertAlign w:val="superscript"/>
        </w:rPr>
        <w:endnoteRef/>
      </w:r>
      <w:r w:rsidRPr="00956011">
        <w:rPr>
          <w:sz w:val="20"/>
          <w:szCs w:val="20"/>
        </w:rPr>
        <w:t xml:space="preserve"> </w:t>
      </w:r>
      <w:r w:rsidRPr="00956011">
        <w:rPr>
          <w:i/>
          <w:iCs/>
          <w:sz w:val="20"/>
          <w:szCs w:val="20"/>
        </w:rPr>
        <w:t>Id.</w:t>
      </w:r>
      <w:r w:rsidRPr="00956011">
        <w:rPr>
          <w:sz w:val="20"/>
          <w:szCs w:val="20"/>
        </w:rPr>
        <w:t xml:space="preserve"> </w:t>
      </w:r>
    </w:p>
  </w:endnote>
  <w:endnote w:id="47">
    <w:p w14:paraId="00000052" w14:textId="20F4598E" w:rsidR="00956011" w:rsidRPr="00956011" w:rsidRDefault="00956011">
      <w:pPr>
        <w:spacing w:line="240" w:lineRule="auto"/>
        <w:rPr>
          <w:sz w:val="20"/>
          <w:szCs w:val="20"/>
        </w:rPr>
      </w:pPr>
      <w:r w:rsidRPr="00956011">
        <w:rPr>
          <w:vertAlign w:val="superscript"/>
        </w:rPr>
        <w:endnoteRef/>
      </w:r>
      <w:r w:rsidRPr="00956011">
        <w:rPr>
          <w:sz w:val="20"/>
          <w:szCs w:val="20"/>
        </w:rPr>
        <w:t xml:space="preserve"> Reece, </w:t>
      </w:r>
      <w:r w:rsidRPr="00956011">
        <w:rPr>
          <w:i/>
          <w:iCs/>
          <w:sz w:val="20"/>
          <w:szCs w:val="20"/>
        </w:rPr>
        <w:t>supra</w:t>
      </w:r>
      <w:r w:rsidRPr="00956011">
        <w:rPr>
          <w:sz w:val="20"/>
          <w:szCs w:val="20"/>
        </w:rPr>
        <w:t xml:space="preserve"> note 24, at 115.</w:t>
      </w:r>
    </w:p>
  </w:endnote>
  <w:endnote w:id="48">
    <w:p w14:paraId="00000053" w14:textId="2EE4BFBA" w:rsidR="00956011" w:rsidRPr="00956011" w:rsidRDefault="00956011">
      <w:pPr>
        <w:spacing w:line="240" w:lineRule="auto"/>
        <w:rPr>
          <w:sz w:val="20"/>
          <w:szCs w:val="20"/>
        </w:rPr>
      </w:pPr>
      <w:r w:rsidRPr="00956011">
        <w:rPr>
          <w:vertAlign w:val="superscript"/>
        </w:rPr>
        <w:endnoteRef/>
      </w:r>
      <w:r w:rsidRPr="00956011">
        <w:rPr>
          <w:sz w:val="20"/>
          <w:szCs w:val="20"/>
        </w:rPr>
        <w:t xml:space="preserve"> </w:t>
      </w:r>
      <w:proofErr w:type="spellStart"/>
      <w:r w:rsidRPr="00956011">
        <w:rPr>
          <w:sz w:val="20"/>
          <w:szCs w:val="20"/>
        </w:rPr>
        <w:t>Shaknes</w:t>
      </w:r>
      <w:proofErr w:type="spellEnd"/>
      <w:r w:rsidRPr="00956011">
        <w:rPr>
          <w:sz w:val="20"/>
          <w:szCs w:val="20"/>
        </w:rPr>
        <w:t xml:space="preserve">, </w:t>
      </w:r>
      <w:r w:rsidRPr="00956011">
        <w:rPr>
          <w:i/>
          <w:iCs/>
          <w:sz w:val="20"/>
          <w:szCs w:val="20"/>
        </w:rPr>
        <w:t>supra</w:t>
      </w:r>
      <w:r w:rsidRPr="00956011">
        <w:rPr>
          <w:sz w:val="20"/>
          <w:szCs w:val="20"/>
        </w:rPr>
        <w:t xml:space="preserve"> note 13, at 497.</w:t>
      </w:r>
    </w:p>
  </w:endnote>
  <w:endnote w:id="49">
    <w:p w14:paraId="00000054" w14:textId="355A1814" w:rsidR="00956011" w:rsidRPr="00956011" w:rsidRDefault="00956011">
      <w:pPr>
        <w:spacing w:line="240" w:lineRule="auto"/>
        <w:rPr>
          <w:sz w:val="20"/>
          <w:szCs w:val="20"/>
        </w:rPr>
      </w:pPr>
      <w:r w:rsidRPr="00956011">
        <w:rPr>
          <w:vertAlign w:val="superscript"/>
        </w:rPr>
        <w:endnoteRef/>
      </w:r>
      <w:r w:rsidRPr="00956011">
        <w:rPr>
          <w:sz w:val="20"/>
          <w:szCs w:val="20"/>
        </w:rPr>
        <w:t xml:space="preserve"> Trimmings, </w:t>
      </w:r>
      <w:r w:rsidRPr="00956011">
        <w:rPr>
          <w:i/>
          <w:iCs/>
          <w:sz w:val="20"/>
          <w:szCs w:val="20"/>
        </w:rPr>
        <w:t>supra</w:t>
      </w:r>
      <w:r w:rsidRPr="00956011">
        <w:rPr>
          <w:sz w:val="20"/>
          <w:szCs w:val="20"/>
        </w:rPr>
        <w:t xml:space="preserve"> note 26, at 6.</w:t>
      </w:r>
    </w:p>
  </w:endnote>
  <w:endnote w:id="50">
    <w:p w14:paraId="00000055" w14:textId="2AA196F0" w:rsidR="00956011" w:rsidRPr="00956011" w:rsidRDefault="00956011">
      <w:pPr>
        <w:spacing w:line="240" w:lineRule="auto"/>
        <w:rPr>
          <w:sz w:val="20"/>
          <w:szCs w:val="20"/>
        </w:rPr>
      </w:pPr>
      <w:r w:rsidRPr="00956011">
        <w:rPr>
          <w:vertAlign w:val="superscript"/>
        </w:rPr>
        <w:endnoteRef/>
      </w:r>
      <w:r w:rsidRPr="00956011">
        <w:rPr>
          <w:sz w:val="20"/>
          <w:szCs w:val="20"/>
        </w:rPr>
        <w:t xml:space="preserve"> </w:t>
      </w:r>
      <w:r w:rsidRPr="00956011">
        <w:rPr>
          <w:i/>
          <w:iCs/>
          <w:sz w:val="20"/>
          <w:szCs w:val="20"/>
        </w:rPr>
        <w:t>Id.</w:t>
      </w:r>
      <w:r w:rsidRPr="00956011">
        <w:rPr>
          <w:sz w:val="20"/>
          <w:szCs w:val="20"/>
        </w:rPr>
        <w:t xml:space="preserve"> </w:t>
      </w:r>
    </w:p>
  </w:endnote>
  <w:endnote w:id="51">
    <w:p w14:paraId="00000056" w14:textId="1A358235" w:rsidR="00956011" w:rsidRPr="00956011" w:rsidRDefault="00956011">
      <w:pPr>
        <w:spacing w:line="240" w:lineRule="auto"/>
        <w:rPr>
          <w:sz w:val="20"/>
          <w:szCs w:val="20"/>
        </w:rPr>
      </w:pPr>
      <w:r w:rsidRPr="00956011">
        <w:rPr>
          <w:vertAlign w:val="superscript"/>
        </w:rPr>
        <w:endnoteRef/>
      </w:r>
      <w:r w:rsidRPr="00956011">
        <w:rPr>
          <w:sz w:val="20"/>
          <w:szCs w:val="20"/>
        </w:rPr>
        <w:t xml:space="preserve"> Trimmings, </w:t>
      </w:r>
      <w:r w:rsidRPr="00956011">
        <w:rPr>
          <w:i/>
          <w:iCs/>
          <w:sz w:val="20"/>
          <w:szCs w:val="20"/>
        </w:rPr>
        <w:t>supra</w:t>
      </w:r>
      <w:r w:rsidRPr="00956011">
        <w:rPr>
          <w:sz w:val="20"/>
          <w:szCs w:val="20"/>
        </w:rPr>
        <w:t xml:space="preserve"> note 26, at 14.</w:t>
      </w:r>
    </w:p>
  </w:endnote>
  <w:endnote w:id="52">
    <w:p w14:paraId="00000057" w14:textId="09D3CE33" w:rsidR="00956011" w:rsidRPr="00956011" w:rsidRDefault="00956011">
      <w:pPr>
        <w:spacing w:line="240" w:lineRule="auto"/>
        <w:rPr>
          <w:sz w:val="20"/>
          <w:szCs w:val="20"/>
        </w:rPr>
      </w:pPr>
      <w:r w:rsidRPr="00956011">
        <w:rPr>
          <w:vertAlign w:val="superscript"/>
        </w:rPr>
        <w:endnoteRef/>
      </w:r>
      <w:r w:rsidRPr="00956011">
        <w:rPr>
          <w:sz w:val="20"/>
          <w:szCs w:val="20"/>
        </w:rPr>
        <w:t xml:space="preserve"> </w:t>
      </w:r>
      <w:r w:rsidRPr="00956011">
        <w:rPr>
          <w:i/>
          <w:iCs/>
          <w:sz w:val="20"/>
          <w:szCs w:val="20"/>
        </w:rPr>
        <w:t>Id.</w:t>
      </w:r>
    </w:p>
  </w:endnote>
  <w:endnote w:id="53">
    <w:p w14:paraId="00000058" w14:textId="15A4361C" w:rsidR="00956011" w:rsidRPr="00956011" w:rsidRDefault="00956011">
      <w:pPr>
        <w:spacing w:line="240" w:lineRule="auto"/>
        <w:rPr>
          <w:sz w:val="20"/>
          <w:szCs w:val="20"/>
        </w:rPr>
      </w:pPr>
      <w:r w:rsidRPr="00956011">
        <w:rPr>
          <w:vertAlign w:val="superscript"/>
        </w:rPr>
        <w:endnoteRef/>
      </w:r>
      <w:r w:rsidRPr="00956011">
        <w:rPr>
          <w:sz w:val="20"/>
          <w:szCs w:val="20"/>
        </w:rPr>
        <w:t xml:space="preserve"> Monteiro, </w:t>
      </w:r>
      <w:r w:rsidRPr="00956011">
        <w:rPr>
          <w:i/>
          <w:iCs/>
          <w:sz w:val="20"/>
          <w:szCs w:val="20"/>
        </w:rPr>
        <w:t>supra</w:t>
      </w:r>
      <w:r w:rsidRPr="00956011">
        <w:rPr>
          <w:sz w:val="20"/>
          <w:szCs w:val="20"/>
        </w:rPr>
        <w:t xml:space="preserve"> note 5, at 40.</w:t>
      </w:r>
    </w:p>
  </w:endnote>
  <w:endnote w:id="54">
    <w:p w14:paraId="00000059" w14:textId="74AED903" w:rsidR="00956011" w:rsidRPr="00956011" w:rsidRDefault="00956011">
      <w:pPr>
        <w:spacing w:line="240" w:lineRule="auto"/>
        <w:rPr>
          <w:sz w:val="20"/>
          <w:szCs w:val="20"/>
        </w:rPr>
      </w:pPr>
      <w:r w:rsidRPr="00956011">
        <w:rPr>
          <w:vertAlign w:val="superscript"/>
        </w:rPr>
        <w:endnoteRef/>
      </w:r>
      <w:r w:rsidRPr="00956011">
        <w:rPr>
          <w:sz w:val="20"/>
          <w:szCs w:val="20"/>
        </w:rPr>
        <w:t xml:space="preserve"> Reece, </w:t>
      </w:r>
      <w:r w:rsidRPr="00956011">
        <w:rPr>
          <w:i/>
          <w:iCs/>
          <w:sz w:val="20"/>
          <w:szCs w:val="20"/>
        </w:rPr>
        <w:t>supra</w:t>
      </w:r>
      <w:r w:rsidRPr="00956011">
        <w:rPr>
          <w:sz w:val="20"/>
          <w:szCs w:val="20"/>
        </w:rPr>
        <w:t xml:space="preserve"> note 24, at 125.</w:t>
      </w:r>
    </w:p>
  </w:endnote>
  <w:endnote w:id="55">
    <w:p w14:paraId="0000005A" w14:textId="0490A4C7" w:rsidR="00956011" w:rsidRPr="00956011" w:rsidRDefault="00956011">
      <w:pPr>
        <w:spacing w:line="240" w:lineRule="auto"/>
        <w:rPr>
          <w:sz w:val="20"/>
          <w:szCs w:val="20"/>
        </w:rPr>
      </w:pPr>
      <w:r w:rsidRPr="00956011">
        <w:rPr>
          <w:vertAlign w:val="superscript"/>
        </w:rPr>
        <w:endnoteRef/>
      </w:r>
      <w:r w:rsidRPr="00956011">
        <w:rPr>
          <w:sz w:val="20"/>
          <w:szCs w:val="20"/>
        </w:rPr>
        <w:t xml:space="preserve"> Reece, </w:t>
      </w:r>
      <w:r w:rsidRPr="00956011">
        <w:rPr>
          <w:i/>
          <w:iCs/>
          <w:sz w:val="20"/>
          <w:szCs w:val="20"/>
        </w:rPr>
        <w:t>supra</w:t>
      </w:r>
      <w:r w:rsidRPr="00956011">
        <w:rPr>
          <w:sz w:val="20"/>
          <w:szCs w:val="20"/>
        </w:rPr>
        <w:t xml:space="preserve"> note 24, at 125-126.</w:t>
      </w:r>
    </w:p>
  </w:endnote>
  <w:endnote w:id="56">
    <w:p w14:paraId="0000005B" w14:textId="514728BE" w:rsidR="00956011" w:rsidRPr="00956011" w:rsidRDefault="00956011">
      <w:pPr>
        <w:spacing w:line="240" w:lineRule="auto"/>
        <w:rPr>
          <w:sz w:val="20"/>
          <w:szCs w:val="20"/>
        </w:rPr>
      </w:pPr>
      <w:r w:rsidRPr="00956011">
        <w:rPr>
          <w:vertAlign w:val="superscript"/>
        </w:rPr>
        <w:endnoteRef/>
      </w:r>
      <w:r w:rsidRPr="00956011">
        <w:rPr>
          <w:sz w:val="20"/>
          <w:szCs w:val="20"/>
        </w:rPr>
        <w:t xml:space="preserve"> </w:t>
      </w:r>
      <w:r w:rsidRPr="00956011">
        <w:rPr>
          <w:i/>
          <w:iCs/>
          <w:sz w:val="20"/>
          <w:szCs w:val="20"/>
        </w:rPr>
        <w:t>Id.</w:t>
      </w:r>
    </w:p>
  </w:endnote>
  <w:endnote w:id="57">
    <w:p w14:paraId="0000005C" w14:textId="05249F0D" w:rsidR="00956011" w:rsidRPr="00956011" w:rsidRDefault="00956011">
      <w:pPr>
        <w:spacing w:line="240" w:lineRule="auto"/>
        <w:rPr>
          <w:sz w:val="20"/>
          <w:szCs w:val="20"/>
        </w:rPr>
      </w:pPr>
      <w:r w:rsidRPr="00956011">
        <w:rPr>
          <w:vertAlign w:val="superscript"/>
        </w:rPr>
        <w:endnoteRef/>
      </w:r>
      <w:r w:rsidRPr="00956011">
        <w:rPr>
          <w:sz w:val="20"/>
          <w:szCs w:val="20"/>
        </w:rPr>
        <w:t xml:space="preserve"> Trimmings, </w:t>
      </w:r>
      <w:r w:rsidRPr="00956011">
        <w:rPr>
          <w:i/>
          <w:iCs/>
          <w:sz w:val="20"/>
          <w:szCs w:val="20"/>
        </w:rPr>
        <w:t>supra</w:t>
      </w:r>
      <w:r w:rsidRPr="00956011">
        <w:rPr>
          <w:sz w:val="20"/>
          <w:szCs w:val="20"/>
        </w:rPr>
        <w:t xml:space="preserve"> note 26, at 4.</w:t>
      </w:r>
    </w:p>
  </w:endnote>
  <w:endnote w:id="58">
    <w:p w14:paraId="0000005D" w14:textId="505C9921" w:rsidR="00956011" w:rsidRPr="00956011" w:rsidRDefault="00956011">
      <w:pPr>
        <w:spacing w:line="240" w:lineRule="auto"/>
        <w:rPr>
          <w:sz w:val="20"/>
          <w:szCs w:val="20"/>
        </w:rPr>
      </w:pPr>
      <w:r w:rsidRPr="00956011">
        <w:rPr>
          <w:vertAlign w:val="superscript"/>
        </w:rPr>
        <w:endnoteRef/>
      </w:r>
      <w:r w:rsidRPr="00956011">
        <w:rPr>
          <w:sz w:val="20"/>
          <w:szCs w:val="20"/>
        </w:rPr>
        <w:t xml:space="preserve"> Monteiro, </w:t>
      </w:r>
      <w:r w:rsidRPr="00956011">
        <w:rPr>
          <w:i/>
          <w:iCs/>
          <w:sz w:val="20"/>
          <w:szCs w:val="20"/>
        </w:rPr>
        <w:t>supra</w:t>
      </w:r>
      <w:r w:rsidRPr="00956011">
        <w:rPr>
          <w:sz w:val="20"/>
          <w:szCs w:val="20"/>
        </w:rPr>
        <w:t xml:space="preserve"> note 5, at 43.</w:t>
      </w:r>
    </w:p>
  </w:endnote>
  <w:endnote w:id="59">
    <w:p w14:paraId="0000005E" w14:textId="3A1B969B" w:rsidR="00956011" w:rsidRPr="00956011" w:rsidRDefault="00956011">
      <w:pPr>
        <w:spacing w:line="240" w:lineRule="auto"/>
        <w:rPr>
          <w:sz w:val="20"/>
          <w:szCs w:val="20"/>
        </w:rPr>
      </w:pPr>
      <w:r w:rsidRPr="00956011">
        <w:rPr>
          <w:vertAlign w:val="superscript"/>
        </w:rPr>
        <w:endnoteRef/>
      </w:r>
      <w:r w:rsidRPr="00956011">
        <w:rPr>
          <w:sz w:val="20"/>
          <w:szCs w:val="20"/>
        </w:rPr>
        <w:t xml:space="preserve"> </w:t>
      </w:r>
      <w:r w:rsidRPr="00956011">
        <w:rPr>
          <w:i/>
          <w:iCs/>
          <w:sz w:val="20"/>
          <w:szCs w:val="20"/>
        </w:rPr>
        <w:t>Id.</w:t>
      </w:r>
    </w:p>
  </w:endnote>
  <w:endnote w:id="60">
    <w:p w14:paraId="0000005F" w14:textId="35370199" w:rsidR="00956011" w:rsidRPr="00956011" w:rsidRDefault="00956011">
      <w:pPr>
        <w:spacing w:line="240" w:lineRule="auto"/>
        <w:rPr>
          <w:sz w:val="20"/>
          <w:szCs w:val="20"/>
        </w:rPr>
      </w:pPr>
      <w:r w:rsidRPr="00956011">
        <w:rPr>
          <w:vertAlign w:val="superscript"/>
        </w:rPr>
        <w:endnoteRef/>
      </w:r>
      <w:r w:rsidRPr="00956011">
        <w:rPr>
          <w:sz w:val="20"/>
          <w:szCs w:val="20"/>
        </w:rPr>
        <w:t xml:space="preserve"> </w:t>
      </w:r>
      <w:r w:rsidRPr="00956011">
        <w:rPr>
          <w:i/>
          <w:iCs/>
          <w:sz w:val="20"/>
          <w:szCs w:val="20"/>
        </w:rPr>
        <w:t>Hague Mothers a FILIA MVAWG Project</w:t>
      </w:r>
      <w:r w:rsidRPr="00956011">
        <w:rPr>
          <w:sz w:val="20"/>
          <w:szCs w:val="20"/>
        </w:rPr>
        <w:t xml:space="preserve">, </w:t>
      </w:r>
      <w:r w:rsidRPr="00956011">
        <w:rPr>
          <w:smallCaps/>
          <w:sz w:val="20"/>
          <w:szCs w:val="20"/>
        </w:rPr>
        <w:t>Hague Mothers</w:t>
      </w:r>
      <w:r w:rsidRPr="00956011">
        <w:rPr>
          <w:sz w:val="20"/>
          <w:szCs w:val="20"/>
        </w:rPr>
        <w:t xml:space="preserve"> (last visited Nov. 3, 2025) </w:t>
      </w:r>
      <w:hyperlink r:id="rId3" w:history="1">
        <w:r w:rsidRPr="00956011">
          <w:rPr>
            <w:rStyle w:val="Hyperlink"/>
            <w:color w:val="auto"/>
            <w:sz w:val="20"/>
            <w:szCs w:val="20"/>
            <w:u w:val="none"/>
          </w:rPr>
          <w:t>https://www.hague-mothers.org.uk/</w:t>
        </w:r>
      </w:hyperlink>
      <w:r w:rsidRPr="00956011">
        <w:rPr>
          <w:sz w:val="20"/>
          <w:szCs w:val="20"/>
        </w:rPr>
        <w:t xml:space="preserve"> [https://perma.cc/AK4Y-MAGK].</w:t>
      </w:r>
    </w:p>
  </w:endnote>
  <w:endnote w:id="61">
    <w:p w14:paraId="00000060" w14:textId="703B3F15" w:rsidR="00956011" w:rsidRPr="00956011" w:rsidRDefault="00956011">
      <w:pPr>
        <w:spacing w:line="240" w:lineRule="auto"/>
        <w:rPr>
          <w:sz w:val="20"/>
          <w:szCs w:val="20"/>
        </w:rPr>
      </w:pPr>
      <w:r w:rsidRPr="00956011">
        <w:rPr>
          <w:vertAlign w:val="superscript"/>
        </w:rPr>
        <w:endnoteRef/>
      </w:r>
      <w:r w:rsidRPr="00956011">
        <w:rPr>
          <w:sz w:val="20"/>
          <w:szCs w:val="20"/>
          <w:lang w:bidi="hi-IN"/>
        </w:rPr>
        <w:t xml:space="preserve"> </w:t>
      </w:r>
      <w:proofErr w:type="spellStart"/>
      <w:r w:rsidRPr="00956011">
        <w:rPr>
          <w:sz w:val="20"/>
          <w:szCs w:val="20"/>
          <w:lang w:bidi="hi-IN"/>
        </w:rPr>
        <w:t>Buchanunn</w:t>
      </w:r>
      <w:proofErr w:type="spellEnd"/>
      <w:r w:rsidRPr="00956011">
        <w:rPr>
          <w:sz w:val="20"/>
          <w:szCs w:val="20"/>
          <w:lang w:bidi="hi-IN"/>
        </w:rPr>
        <w:t>,</w:t>
      </w:r>
      <w:r w:rsidRPr="00956011">
        <w:rPr>
          <w:sz w:val="20"/>
          <w:szCs w:val="20"/>
        </w:rPr>
        <w:t xml:space="preserve"> </w:t>
      </w:r>
      <w:r w:rsidRPr="00956011">
        <w:rPr>
          <w:i/>
          <w:iCs/>
          <w:sz w:val="20"/>
          <w:szCs w:val="20"/>
        </w:rPr>
        <w:t>supra</w:t>
      </w:r>
      <w:r w:rsidRPr="00956011">
        <w:rPr>
          <w:sz w:val="20"/>
          <w:szCs w:val="20"/>
        </w:rPr>
        <w:t xml:space="preserve"> note 3.</w:t>
      </w:r>
    </w:p>
  </w:endnote>
  <w:endnote w:id="62">
    <w:p w14:paraId="22D1184F" w14:textId="109631DD" w:rsidR="00956011" w:rsidRPr="00956011" w:rsidRDefault="00956011" w:rsidP="00B015E8">
      <w:pPr>
        <w:spacing w:line="240" w:lineRule="auto"/>
        <w:rPr>
          <w:i/>
          <w:iCs/>
          <w:sz w:val="20"/>
          <w:szCs w:val="20"/>
        </w:rPr>
      </w:pPr>
      <w:r w:rsidRPr="00956011">
        <w:rPr>
          <w:vertAlign w:val="superscript"/>
        </w:rPr>
        <w:endnoteRef/>
      </w:r>
      <w:r w:rsidRPr="00956011">
        <w:rPr>
          <w:sz w:val="20"/>
          <w:szCs w:val="20"/>
        </w:rPr>
        <w:t xml:space="preserve"> </w:t>
      </w:r>
      <w:r w:rsidRPr="00956011">
        <w:rPr>
          <w:i/>
          <w:iCs/>
          <w:sz w:val="20"/>
          <w:szCs w:val="20"/>
        </w:rPr>
        <w:t>See generally</w:t>
      </w:r>
      <w:r w:rsidRPr="00956011">
        <w:rPr>
          <w:sz w:val="20"/>
          <w:szCs w:val="20"/>
        </w:rPr>
        <w:t xml:space="preserve"> Merle H. Weiner, </w:t>
      </w:r>
      <w:r w:rsidRPr="00956011">
        <w:rPr>
          <w:i/>
          <w:iCs/>
          <w:sz w:val="20"/>
          <w:szCs w:val="20"/>
        </w:rPr>
        <w:t>Convention on Safety for Survivors of Family Violence Involved in</w:t>
      </w:r>
    </w:p>
    <w:p w14:paraId="00000061" w14:textId="68462EE5" w:rsidR="00956011" w:rsidRPr="00956011" w:rsidRDefault="00956011" w:rsidP="00B015E8">
      <w:pPr>
        <w:spacing w:line="240" w:lineRule="auto"/>
        <w:rPr>
          <w:sz w:val="20"/>
          <w:szCs w:val="20"/>
        </w:rPr>
      </w:pPr>
      <w:r w:rsidRPr="00956011">
        <w:rPr>
          <w:i/>
          <w:iCs/>
          <w:sz w:val="20"/>
          <w:szCs w:val="20"/>
        </w:rPr>
        <w:t>International Custody Disputes</w:t>
      </w:r>
      <w:r w:rsidRPr="00956011">
        <w:rPr>
          <w:sz w:val="20"/>
          <w:szCs w:val="20"/>
        </w:rPr>
        <w:t xml:space="preserve">, 46 </w:t>
      </w:r>
      <w:r w:rsidRPr="00956011">
        <w:rPr>
          <w:smallCaps/>
          <w:sz w:val="20"/>
          <w:szCs w:val="20"/>
        </w:rPr>
        <w:t>Cardozo L. Rev.</w:t>
      </w:r>
      <w:r w:rsidRPr="00956011">
        <w:rPr>
          <w:sz w:val="20"/>
          <w:szCs w:val="20"/>
        </w:rPr>
        <w:t xml:space="preserve"> 1167 (2025); </w:t>
      </w:r>
      <w:r w:rsidRPr="00956011">
        <w:rPr>
          <w:i/>
          <w:iCs/>
          <w:sz w:val="20"/>
          <w:szCs w:val="20"/>
        </w:rPr>
        <w:t>New Treaty Proposal on Safety for Survivors of Family Violence</w:t>
      </w:r>
      <w:r w:rsidRPr="00956011">
        <w:rPr>
          <w:sz w:val="20"/>
          <w:szCs w:val="20"/>
        </w:rPr>
        <w:t xml:space="preserve">, </w:t>
      </w:r>
      <w:r w:rsidRPr="00956011">
        <w:rPr>
          <w:smallCaps/>
          <w:sz w:val="20"/>
          <w:szCs w:val="20"/>
        </w:rPr>
        <w:t>Hague Mothers</w:t>
      </w:r>
      <w:r w:rsidRPr="00956011">
        <w:rPr>
          <w:sz w:val="20"/>
          <w:szCs w:val="20"/>
        </w:rPr>
        <w:t xml:space="preserve"> (Jun. 19, 2025) </w:t>
      </w:r>
      <w:hyperlink r:id="rId4" w:history="1">
        <w:r w:rsidRPr="00956011">
          <w:rPr>
            <w:rStyle w:val="Hyperlink"/>
            <w:color w:val="auto"/>
            <w:sz w:val="20"/>
            <w:szCs w:val="20"/>
            <w:u w:val="none"/>
          </w:rPr>
          <w:t>https://www.hague-mothers.org.uk/document/new-treaty-proposal-on-safety-for-survivors-of-family-violence/</w:t>
        </w:r>
      </w:hyperlink>
      <w:r w:rsidRPr="00956011">
        <w:rPr>
          <w:sz w:val="20"/>
          <w:szCs w:val="20"/>
        </w:rPr>
        <w:t xml:space="preserve"> [https://perma.cc/56VF-R5WD].</w:t>
      </w:r>
    </w:p>
  </w:endnote>
  <w:endnote w:id="63">
    <w:p w14:paraId="00000069" w14:textId="2E6814FA" w:rsidR="00956011" w:rsidRPr="00956011" w:rsidRDefault="00956011">
      <w:pPr>
        <w:spacing w:line="240" w:lineRule="auto"/>
        <w:rPr>
          <w:sz w:val="20"/>
          <w:szCs w:val="20"/>
        </w:rPr>
      </w:pPr>
      <w:r w:rsidRPr="00956011">
        <w:rPr>
          <w:vertAlign w:val="superscript"/>
        </w:rPr>
        <w:endnoteRef/>
      </w:r>
      <w:r w:rsidRPr="00956011">
        <w:rPr>
          <w:sz w:val="20"/>
          <w:szCs w:val="20"/>
        </w:rPr>
        <w:t xml:space="preserve"> Monteiro, </w:t>
      </w:r>
      <w:r w:rsidRPr="00956011">
        <w:rPr>
          <w:i/>
          <w:iCs/>
          <w:sz w:val="20"/>
          <w:szCs w:val="20"/>
        </w:rPr>
        <w:t>supra</w:t>
      </w:r>
      <w:r w:rsidRPr="00956011">
        <w:rPr>
          <w:sz w:val="20"/>
          <w:szCs w:val="20"/>
        </w:rPr>
        <w:t xml:space="preserve"> note 5, at 38, 40.</w:t>
      </w:r>
    </w:p>
  </w:endnote>
  <w:endnote w:id="64">
    <w:p w14:paraId="0000006A" w14:textId="264D4EA1" w:rsidR="00956011" w:rsidRPr="00956011" w:rsidRDefault="00956011">
      <w:pPr>
        <w:spacing w:line="240" w:lineRule="auto"/>
        <w:rPr>
          <w:sz w:val="20"/>
          <w:szCs w:val="20"/>
        </w:rPr>
      </w:pPr>
      <w:r w:rsidRPr="00956011">
        <w:rPr>
          <w:vertAlign w:val="superscript"/>
        </w:rPr>
        <w:endnoteRef/>
      </w:r>
      <w:r w:rsidRPr="00956011">
        <w:rPr>
          <w:sz w:val="20"/>
          <w:szCs w:val="20"/>
        </w:rPr>
        <w:t xml:space="preserve"> Trimmings, </w:t>
      </w:r>
      <w:r w:rsidRPr="00956011">
        <w:rPr>
          <w:i/>
          <w:iCs/>
          <w:sz w:val="20"/>
          <w:szCs w:val="20"/>
        </w:rPr>
        <w:t>supra</w:t>
      </w:r>
      <w:r w:rsidRPr="00956011">
        <w:rPr>
          <w:sz w:val="20"/>
          <w:szCs w:val="20"/>
        </w:rPr>
        <w:t xml:space="preserve"> note 26, at 5.</w:t>
      </w:r>
    </w:p>
  </w:endnote>
  <w:endnote w:id="65">
    <w:p w14:paraId="0000006B" w14:textId="0D4A545C" w:rsidR="00956011" w:rsidRDefault="00956011">
      <w:pPr>
        <w:spacing w:line="240" w:lineRule="auto"/>
        <w:rPr>
          <w:sz w:val="20"/>
          <w:szCs w:val="20"/>
        </w:rPr>
      </w:pPr>
      <w:r w:rsidRPr="00956011">
        <w:rPr>
          <w:vertAlign w:val="superscript"/>
        </w:rPr>
        <w:endnoteRef/>
      </w:r>
      <w:r w:rsidRPr="00956011">
        <w:rPr>
          <w:sz w:val="20"/>
          <w:szCs w:val="20"/>
        </w:rPr>
        <w:t xml:space="preserve"> </w:t>
      </w:r>
      <w:r w:rsidRPr="00956011">
        <w:rPr>
          <w:i/>
          <w:iCs/>
          <w:sz w:val="20"/>
          <w:szCs w:val="20"/>
        </w:rPr>
        <w:t>Hague Mothers a FILIA MVAWG Project</w:t>
      </w:r>
      <w:r w:rsidRPr="00956011">
        <w:rPr>
          <w:sz w:val="20"/>
          <w:szCs w:val="20"/>
        </w:rPr>
        <w:t>, supra note</w:t>
      </w:r>
      <w:r>
        <w:rPr>
          <w:sz w:val="20"/>
          <w:szCs w:val="20"/>
        </w:rPr>
        <w:t xml:space="preserve"> 60.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62AA998-1E6D-F540-89E3-DF2AAAF83914}"/>
    <w:embedBold r:id="rId2" w:fontKey="{89569458-A1F7-FB45-92C3-AFBCCA477E31}"/>
    <w:embedItalic r:id="rId3" w:fontKey="{0EF4ACC9-6258-B242-82DC-577D4CABCC1D}"/>
  </w:font>
  <w:font w:name="Arial">
    <w:panose1 w:val="020B0604020202020204"/>
    <w:charset w:val="00"/>
    <w:family w:val="swiss"/>
    <w:pitch w:val="variable"/>
    <w:sig w:usb0="E0002AFF" w:usb1="C0007843" w:usb2="00000009" w:usb3="00000000" w:csb0="000001FF" w:csb1="00000000"/>
    <w:embedRegular r:id="rId4" w:fontKey="{89F8527A-346A-8441-9F45-36DB27387B22}"/>
  </w:font>
  <w:font w:name="Calibri">
    <w:panose1 w:val="020F0502020204030204"/>
    <w:charset w:val="00"/>
    <w:family w:val="swiss"/>
    <w:pitch w:val="variable"/>
    <w:sig w:usb0="E4002EFF" w:usb1="C200247B" w:usb2="00000009" w:usb3="00000000" w:csb0="000001FF" w:csb1="00000000"/>
    <w:embedRegular r:id="rId5" w:fontKey="{E5013943-5D77-F141-B9A0-C3FA10F5EDB0}"/>
  </w:font>
  <w:font w:name="Cambria">
    <w:panose1 w:val="02040503050406030204"/>
    <w:charset w:val="00"/>
    <w:family w:val="roman"/>
    <w:pitch w:val="variable"/>
    <w:sig w:usb0="E00006FF" w:usb1="420024FF" w:usb2="02000000" w:usb3="00000000" w:csb0="0000019F" w:csb1="00000000"/>
    <w:embedRegular r:id="rId6" w:fontKey="{26628260-2EF1-0A4E-8071-182EBB77C7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8" w14:textId="77777777" w:rsidR="005D3B87" w:rsidRDefault="005D3B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B26AF6" w14:textId="77777777" w:rsidR="002B55C7" w:rsidRDefault="002B55C7">
      <w:pPr>
        <w:spacing w:line="240" w:lineRule="auto"/>
      </w:pPr>
      <w:r>
        <w:separator/>
      </w:r>
    </w:p>
  </w:footnote>
  <w:footnote w:type="continuationSeparator" w:id="0">
    <w:p w14:paraId="588EFB7D" w14:textId="77777777" w:rsidR="002B55C7" w:rsidRDefault="002B55C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741E4A"/>
    <w:multiLevelType w:val="multilevel"/>
    <w:tmpl w:val="1E84FC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3EF3C11"/>
    <w:multiLevelType w:val="hybridMultilevel"/>
    <w:tmpl w:val="E168FC14"/>
    <w:lvl w:ilvl="0" w:tplc="E3B055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4927663">
    <w:abstractNumId w:val="0"/>
  </w:num>
  <w:num w:numId="2" w16cid:durableId="10995242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B87"/>
    <w:rsid w:val="00010C5F"/>
    <w:rsid w:val="00042DA1"/>
    <w:rsid w:val="00077E2D"/>
    <w:rsid w:val="000D573B"/>
    <w:rsid w:val="00147FBA"/>
    <w:rsid w:val="001C04AC"/>
    <w:rsid w:val="001D3BC6"/>
    <w:rsid w:val="00262650"/>
    <w:rsid w:val="0026668B"/>
    <w:rsid w:val="002B55C7"/>
    <w:rsid w:val="00383911"/>
    <w:rsid w:val="00452A03"/>
    <w:rsid w:val="0059392C"/>
    <w:rsid w:val="005B64D7"/>
    <w:rsid w:val="005D3B87"/>
    <w:rsid w:val="00602AD2"/>
    <w:rsid w:val="007437D8"/>
    <w:rsid w:val="00956011"/>
    <w:rsid w:val="00965FA6"/>
    <w:rsid w:val="00A045C3"/>
    <w:rsid w:val="00A13DF8"/>
    <w:rsid w:val="00A46F34"/>
    <w:rsid w:val="00B015E8"/>
    <w:rsid w:val="00B55508"/>
    <w:rsid w:val="00C86A99"/>
    <w:rsid w:val="00EF4669"/>
    <w:rsid w:val="00FD50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D2D6E"/>
  <w15:docId w15:val="{55D56BAA-BF7A-427E-9F25-342EA5C4E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character" w:styleId="Hyperlink">
    <w:name w:val="Hyperlink"/>
    <w:basedOn w:val="DefaultParagraphFont"/>
    <w:uiPriority w:val="99"/>
    <w:unhideWhenUsed/>
    <w:rsid w:val="005B64D7"/>
    <w:rPr>
      <w:color w:val="0000FF" w:themeColor="hyperlink"/>
      <w:u w:val="single"/>
    </w:rPr>
  </w:style>
  <w:style w:type="character" w:styleId="UnresolvedMention">
    <w:name w:val="Unresolved Mention"/>
    <w:basedOn w:val="DefaultParagraphFont"/>
    <w:uiPriority w:val="99"/>
    <w:semiHidden/>
    <w:unhideWhenUsed/>
    <w:rsid w:val="005B64D7"/>
    <w:rPr>
      <w:color w:val="605E5C"/>
      <w:shd w:val="clear" w:color="auto" w:fill="E1DFDD"/>
    </w:rPr>
  </w:style>
  <w:style w:type="paragraph" w:styleId="FootnoteText">
    <w:name w:val="footnote text"/>
    <w:basedOn w:val="Normal"/>
    <w:link w:val="FootnoteTextChar"/>
    <w:uiPriority w:val="99"/>
    <w:semiHidden/>
    <w:unhideWhenUsed/>
    <w:rsid w:val="0059392C"/>
    <w:pPr>
      <w:spacing w:line="240" w:lineRule="auto"/>
    </w:pPr>
    <w:rPr>
      <w:sz w:val="20"/>
      <w:szCs w:val="20"/>
    </w:rPr>
  </w:style>
  <w:style w:type="character" w:customStyle="1" w:styleId="FootnoteTextChar">
    <w:name w:val="Footnote Text Char"/>
    <w:basedOn w:val="DefaultParagraphFont"/>
    <w:link w:val="FootnoteText"/>
    <w:uiPriority w:val="99"/>
    <w:semiHidden/>
    <w:rsid w:val="0059392C"/>
    <w:rPr>
      <w:sz w:val="20"/>
      <w:szCs w:val="20"/>
    </w:rPr>
  </w:style>
  <w:style w:type="character" w:styleId="FootnoteReference">
    <w:name w:val="footnote reference"/>
    <w:basedOn w:val="DefaultParagraphFont"/>
    <w:uiPriority w:val="99"/>
    <w:semiHidden/>
    <w:unhideWhenUsed/>
    <w:rsid w:val="0059392C"/>
    <w:rPr>
      <w:vertAlign w:val="superscript"/>
    </w:rPr>
  </w:style>
  <w:style w:type="paragraph" w:styleId="ListParagraph">
    <w:name w:val="List Paragraph"/>
    <w:basedOn w:val="Normal"/>
    <w:uiPriority w:val="34"/>
    <w:qFormat/>
    <w:rsid w:val="00A46F34"/>
    <w:pPr>
      <w:ind w:left="720"/>
      <w:contextualSpacing/>
    </w:pPr>
  </w:style>
  <w:style w:type="paragraph" w:styleId="EndnoteText">
    <w:name w:val="endnote text"/>
    <w:basedOn w:val="Normal"/>
    <w:link w:val="EndnoteTextChar"/>
    <w:uiPriority w:val="99"/>
    <w:semiHidden/>
    <w:unhideWhenUsed/>
    <w:rsid w:val="00956011"/>
    <w:pPr>
      <w:spacing w:line="240" w:lineRule="auto"/>
    </w:pPr>
    <w:rPr>
      <w:sz w:val="20"/>
      <w:szCs w:val="20"/>
    </w:rPr>
  </w:style>
  <w:style w:type="character" w:customStyle="1" w:styleId="EndnoteTextChar">
    <w:name w:val="Endnote Text Char"/>
    <w:basedOn w:val="DefaultParagraphFont"/>
    <w:link w:val="EndnoteText"/>
    <w:uiPriority w:val="99"/>
    <w:semiHidden/>
    <w:rsid w:val="00956011"/>
    <w:rPr>
      <w:sz w:val="20"/>
      <w:szCs w:val="20"/>
    </w:rPr>
  </w:style>
  <w:style w:type="character" w:styleId="EndnoteReference">
    <w:name w:val="endnote reference"/>
    <w:basedOn w:val="DefaultParagraphFont"/>
    <w:uiPriority w:val="99"/>
    <w:semiHidden/>
    <w:unhideWhenUsed/>
    <w:rsid w:val="0095601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https://www.hague-mothers.org.uk/" TargetMode="External"/><Relationship Id="rId2" Type="http://schemas.openxmlformats.org/officeDocument/2006/relationships/hyperlink" Target="https://www.hcch.net/en/instruments/conventions/status-table/?cid=24" TargetMode="External"/><Relationship Id="rId1" Type="http://schemas.openxmlformats.org/officeDocument/2006/relationships/hyperlink" Target="https://www.brunel.ac.uk/news-and-events/news/articles/Family-law-expert-urges-'abduction-reversing'-Hague-Convention-to-take-account-of-domestic-abuse" TargetMode="External"/><Relationship Id="rId4" Type="http://schemas.openxmlformats.org/officeDocument/2006/relationships/hyperlink" Target="https://www.hague-mothers.org.uk/document/new-treaty-proposal-on-safety-for-survivors-of-family-violenc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9CA17C-ECF6-425A-9DF2-F26A71685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10</Pages>
  <Words>2241</Words>
  <Characters>12776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Allison Semadeni</cp:lastModifiedBy>
  <cp:revision>12</cp:revision>
  <dcterms:created xsi:type="dcterms:W3CDTF">2025-11-03T05:48:00Z</dcterms:created>
  <dcterms:modified xsi:type="dcterms:W3CDTF">2025-11-17T15:13:00Z</dcterms:modified>
</cp:coreProperties>
</file>