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EB7F6" w14:textId="6F16B9DB" w:rsidR="008A12C9" w:rsidRDefault="008A5AD3" w:rsidP="00256500">
      <w:pPr>
        <w:spacing w:after="0" w:line="480" w:lineRule="auto"/>
        <w:jc w:val="center"/>
        <w:rPr>
          <w:b/>
          <w:bCs/>
        </w:rPr>
      </w:pPr>
      <w:r>
        <w:rPr>
          <w:b/>
          <w:bCs/>
        </w:rPr>
        <w:t>A</w:t>
      </w:r>
      <w:r w:rsidR="00A722CC">
        <w:rPr>
          <w:b/>
          <w:bCs/>
        </w:rPr>
        <w:t>n Early Warning</w:t>
      </w:r>
      <w:r w:rsidR="00E758E1">
        <w:rPr>
          <w:b/>
          <w:bCs/>
        </w:rPr>
        <w:t xml:space="preserve">: The Dublin III Regulation as an Example of </w:t>
      </w:r>
      <w:r w:rsidR="003E6C7C">
        <w:rPr>
          <w:b/>
          <w:bCs/>
        </w:rPr>
        <w:t>the Authority of EU Immigration Law</w:t>
      </w:r>
    </w:p>
    <w:p w14:paraId="49B50CE3" w14:textId="431CE886" w:rsidR="00A722CC" w:rsidRPr="003A3283" w:rsidRDefault="00A722CC" w:rsidP="00256500">
      <w:pPr>
        <w:spacing w:after="0" w:line="480" w:lineRule="auto"/>
        <w:jc w:val="center"/>
      </w:pPr>
      <w:r w:rsidRPr="003A3283">
        <w:t>Sarah Carver</w:t>
      </w:r>
    </w:p>
    <w:p w14:paraId="749F3143" w14:textId="444C7AFD" w:rsidR="008A12C9" w:rsidRDefault="003F2543" w:rsidP="008F73FC">
      <w:pPr>
        <w:spacing w:line="480" w:lineRule="auto"/>
        <w:jc w:val="center"/>
        <w:rPr>
          <w:b/>
          <w:bCs/>
        </w:rPr>
      </w:pPr>
      <w:r>
        <w:rPr>
          <w:b/>
          <w:bCs/>
          <w:noProof/>
        </w:rPr>
        <w:drawing>
          <wp:inline distT="0" distB="0" distL="0" distR="0" wp14:anchorId="45172303" wp14:editId="5D32C84A">
            <wp:extent cx="5604805" cy="3516086"/>
            <wp:effectExtent l="0" t="0" r="0" b="1905"/>
            <wp:docPr id="1114423862" name="Picture 1" descr="A police officer standing next to a v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23862" name="Picture 1" descr="A police officer standing next to a va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1702" cy="3633333"/>
                    </a:xfrm>
                    <a:prstGeom prst="rect">
                      <a:avLst/>
                    </a:prstGeom>
                  </pic:spPr>
                </pic:pic>
              </a:graphicData>
            </a:graphic>
          </wp:inline>
        </w:drawing>
      </w:r>
    </w:p>
    <w:p w14:paraId="0C1B2ED6" w14:textId="75D28E62" w:rsidR="00CB30A0" w:rsidRPr="003A3283" w:rsidRDefault="00CB30A0" w:rsidP="00256500">
      <w:pPr>
        <w:pStyle w:val="ListParagraph"/>
        <w:numPr>
          <w:ilvl w:val="0"/>
          <w:numId w:val="4"/>
        </w:numPr>
        <w:spacing w:after="0" w:line="480" w:lineRule="auto"/>
        <w:rPr>
          <w:b/>
          <w:bCs/>
        </w:rPr>
      </w:pPr>
      <w:r w:rsidRPr="003A3283">
        <w:rPr>
          <w:b/>
          <w:bCs/>
        </w:rPr>
        <w:t>Abstract</w:t>
      </w:r>
    </w:p>
    <w:p w14:paraId="1F363C08" w14:textId="2449B1D1" w:rsidR="0085390F" w:rsidRPr="0085390F" w:rsidRDefault="0085390F" w:rsidP="00256500">
      <w:pPr>
        <w:spacing w:after="0" w:line="480" w:lineRule="auto"/>
      </w:pPr>
      <w:r>
        <w:tab/>
        <w:t xml:space="preserve">Across Member States, the European Union has </w:t>
      </w:r>
      <w:r w:rsidR="00BB22C7">
        <w:t xml:space="preserve">recently </w:t>
      </w:r>
      <w:r>
        <w:t>seen a distinct rise in anti-immigration sentiment.</w:t>
      </w:r>
      <w:r w:rsidR="0015005B">
        <w:rPr>
          <w:rStyle w:val="EndnoteReference"/>
        </w:rPr>
        <w:endnoteReference w:id="1"/>
      </w:r>
      <w:r w:rsidR="00EF6881">
        <w:t xml:space="preserve"> This rising sentiment has led many States to test international asylum regulations</w:t>
      </w:r>
      <w:r w:rsidR="00B87E6A">
        <w:t>,</w:t>
      </w:r>
      <w:r w:rsidR="00962EC5">
        <w:rPr>
          <w:rStyle w:val="EndnoteReference"/>
        </w:rPr>
        <w:endnoteReference w:id="2"/>
      </w:r>
      <w:r w:rsidR="00B87E6A">
        <w:t xml:space="preserve"> such as the Dublin III Regulation. </w:t>
      </w:r>
      <w:r w:rsidR="005C3F9E">
        <w:t>The Dublin III Regulation</w:t>
      </w:r>
      <w:r w:rsidR="002A4A52">
        <w:t>, among other things,</w:t>
      </w:r>
      <w:r w:rsidR="005C3F9E">
        <w:t xml:space="preserve"> establishes a framework for Member States</w:t>
      </w:r>
      <w:r w:rsidR="002A4A52">
        <w:t xml:space="preserve"> to follow in examining asylum applications.</w:t>
      </w:r>
      <w:r w:rsidR="002A4A52">
        <w:rPr>
          <w:rStyle w:val="EndnoteReference"/>
        </w:rPr>
        <w:endnoteReference w:id="3"/>
      </w:r>
      <w:r w:rsidR="002A4A52">
        <w:t xml:space="preserve"> However, recently, Germany </w:t>
      </w:r>
      <w:r w:rsidR="006C192E">
        <w:t>declined to follow that framework in assessing a Somali citizen’s application for asylum.</w:t>
      </w:r>
      <w:r w:rsidR="006C192E">
        <w:rPr>
          <w:rStyle w:val="EndnoteReference"/>
        </w:rPr>
        <w:endnoteReference w:id="4"/>
      </w:r>
      <w:r w:rsidR="0080450D">
        <w:t xml:space="preserve"> In handling this dispute, the Berlin Administrative Court made one thing clear—Member States are</w:t>
      </w:r>
      <w:r w:rsidR="005933A5">
        <w:t xml:space="preserve"> in no way permitted to circumvent or disregard</w:t>
      </w:r>
      <w:r w:rsidR="00997348">
        <w:t xml:space="preserve"> the EU laws they have vowed to uphold.</w:t>
      </w:r>
      <w:r w:rsidR="002F5273">
        <w:rPr>
          <w:rStyle w:val="EndnoteReference"/>
        </w:rPr>
        <w:endnoteReference w:id="5"/>
      </w:r>
      <w:r w:rsidR="002F5273">
        <w:t xml:space="preserve"> </w:t>
      </w:r>
      <w:r w:rsidR="00D74E0A">
        <w:t xml:space="preserve">This resounding declaration of authority exemplifies the EU’s role as a </w:t>
      </w:r>
      <w:r w:rsidR="00D74E0A">
        <w:lastRenderedPageBreak/>
        <w:t xml:space="preserve">unifying force in the face of rising anti-immigration sentiment, and sets an example for how the organization must </w:t>
      </w:r>
      <w:r w:rsidR="00DC7E3B">
        <w:t xml:space="preserve">hold Member States to their previous agreements in coming conflicts. </w:t>
      </w:r>
    </w:p>
    <w:p w14:paraId="01B8781A" w14:textId="36895ACD" w:rsidR="00195F29" w:rsidRPr="003A3283" w:rsidRDefault="002C6613" w:rsidP="00256500">
      <w:pPr>
        <w:pStyle w:val="ListParagraph"/>
        <w:numPr>
          <w:ilvl w:val="0"/>
          <w:numId w:val="4"/>
        </w:numPr>
        <w:spacing w:after="0" w:line="480" w:lineRule="auto"/>
        <w:rPr>
          <w:b/>
          <w:bCs/>
        </w:rPr>
      </w:pPr>
      <w:r w:rsidRPr="003A3283">
        <w:rPr>
          <w:b/>
          <w:bCs/>
        </w:rPr>
        <w:t xml:space="preserve">A Rise in </w:t>
      </w:r>
      <w:r w:rsidR="00195F29" w:rsidRPr="003A3283">
        <w:rPr>
          <w:b/>
          <w:bCs/>
        </w:rPr>
        <w:t xml:space="preserve">Anti-Immigration Sentiment </w:t>
      </w:r>
      <w:r w:rsidR="00F831A9" w:rsidRPr="003A3283">
        <w:rPr>
          <w:b/>
          <w:bCs/>
        </w:rPr>
        <w:t>Across the European Union</w:t>
      </w:r>
    </w:p>
    <w:p w14:paraId="32980D8F" w14:textId="4946AF19" w:rsidR="00854448" w:rsidRDefault="00854448" w:rsidP="008F73FC">
      <w:pPr>
        <w:spacing w:after="0" w:line="480" w:lineRule="auto"/>
      </w:pPr>
      <w:r>
        <w:tab/>
        <w:t xml:space="preserve">In recent </w:t>
      </w:r>
      <w:r w:rsidR="00603B5E">
        <w:t>years, the entirety of the European Union</w:t>
      </w:r>
      <w:r w:rsidR="00841D22">
        <w:t xml:space="preserve"> (EU)</w:t>
      </w:r>
      <w:r w:rsidR="00603B5E">
        <w:t xml:space="preserve"> has seen a rise in Member States’ proclivity to </w:t>
      </w:r>
      <w:r w:rsidR="0098153F">
        <w:t xml:space="preserve">test international </w:t>
      </w:r>
      <w:r w:rsidR="00612F0D">
        <w:t>asylum regulations</w:t>
      </w:r>
      <w:r w:rsidR="0098153F">
        <w:t>.</w:t>
      </w:r>
      <w:r w:rsidR="0098153F">
        <w:rPr>
          <w:rStyle w:val="EndnoteReference"/>
        </w:rPr>
        <w:endnoteReference w:id="6"/>
      </w:r>
      <w:r w:rsidR="00A6631F">
        <w:t xml:space="preserve"> Across Europe, </w:t>
      </w:r>
      <w:r w:rsidR="00841D22">
        <w:t xml:space="preserve">these </w:t>
      </w:r>
      <w:r w:rsidR="0086304D">
        <w:t>S</w:t>
      </w:r>
      <w:r w:rsidR="00841D22">
        <w:t>tates</w:t>
      </w:r>
      <w:r w:rsidR="00336FC1">
        <w:t xml:space="preserve"> are </w:t>
      </w:r>
      <w:r w:rsidR="00612F0D">
        <w:t>introducing</w:t>
      </w:r>
      <w:r w:rsidR="006F0187">
        <w:t xml:space="preserve"> </w:t>
      </w:r>
      <w:r w:rsidR="00336FC1">
        <w:t xml:space="preserve">anti-immigration measures </w:t>
      </w:r>
      <w:r w:rsidR="00497397">
        <w:t>that risk straining ties across the EU.</w:t>
      </w:r>
      <w:r w:rsidR="00497397">
        <w:rPr>
          <w:rStyle w:val="EndnoteReference"/>
        </w:rPr>
        <w:endnoteReference w:id="7"/>
      </w:r>
      <w:r w:rsidR="00B918CF">
        <w:t xml:space="preserve"> Provoked in large part by </w:t>
      </w:r>
      <w:r w:rsidR="00050177">
        <w:t xml:space="preserve">political pressures from far-right parties across the EU, </w:t>
      </w:r>
      <w:r w:rsidR="006E40E0">
        <w:t>these Member States threaten the</w:t>
      </w:r>
      <w:r w:rsidR="00D96994">
        <w:t xml:space="preserve"> EU’s hard-fought asylum regulations.</w:t>
      </w:r>
      <w:r w:rsidR="00D96994">
        <w:rPr>
          <w:rStyle w:val="EndnoteReference"/>
        </w:rPr>
        <w:endnoteReference w:id="8"/>
      </w:r>
    </w:p>
    <w:p w14:paraId="6104E865" w14:textId="41A93F09" w:rsidR="00D96994" w:rsidRDefault="00D96994" w:rsidP="008F73FC">
      <w:pPr>
        <w:spacing w:after="0" w:line="480" w:lineRule="auto"/>
      </w:pPr>
      <w:r>
        <w:tab/>
      </w:r>
      <w:r w:rsidR="00855FDD">
        <w:t xml:space="preserve">Poland, for example, </w:t>
      </w:r>
      <w:r w:rsidR="002961D4">
        <w:t xml:space="preserve">imposed a 60-day restriction on the right to asylum </w:t>
      </w:r>
      <w:r w:rsidR="002815C1">
        <w:t>applications for incoming Belarusians in March of 2025.</w:t>
      </w:r>
      <w:r w:rsidR="00B267F2">
        <w:rPr>
          <w:rStyle w:val="EndnoteReference"/>
        </w:rPr>
        <w:endnoteReference w:id="9"/>
      </w:r>
      <w:r w:rsidR="00B267F2">
        <w:t xml:space="preserve"> </w:t>
      </w:r>
      <w:r w:rsidR="003B6A13">
        <w:t>And, t</w:t>
      </w:r>
      <w:r w:rsidR="00F805FF">
        <w:t xml:space="preserve">he </w:t>
      </w:r>
      <w:r w:rsidR="00D66926">
        <w:t>Polish government voted to extend the suspension in May of 2025.</w:t>
      </w:r>
      <w:r w:rsidR="00D66926">
        <w:rPr>
          <w:rStyle w:val="EndnoteReference"/>
        </w:rPr>
        <w:endnoteReference w:id="10"/>
      </w:r>
      <w:r w:rsidR="0007240B">
        <w:t xml:space="preserve"> The regulation has been harshly criticized by international </w:t>
      </w:r>
      <w:r w:rsidR="00CD7961">
        <w:t>organizations and human rights organizations,</w:t>
      </w:r>
      <w:r w:rsidR="00CD7961">
        <w:rPr>
          <w:rStyle w:val="EndnoteReference"/>
        </w:rPr>
        <w:endnoteReference w:id="11"/>
      </w:r>
      <w:r w:rsidR="002F407E">
        <w:t xml:space="preserve"> and</w:t>
      </w:r>
      <w:r w:rsidR="00B97DF0">
        <w:t xml:space="preserve"> Poland has been accused of failing “to uphold its international obligations</w:t>
      </w:r>
      <w:r w:rsidR="00612546">
        <w:t>.</w:t>
      </w:r>
      <w:r w:rsidR="00F70E2C">
        <w:t>”</w:t>
      </w:r>
      <w:r w:rsidR="00B97DF0">
        <w:rPr>
          <w:rStyle w:val="EndnoteReference"/>
        </w:rPr>
        <w:endnoteReference w:id="12"/>
      </w:r>
      <w:r w:rsidR="00F70E2C">
        <w:t xml:space="preserve"> </w:t>
      </w:r>
    </w:p>
    <w:p w14:paraId="478829D3" w14:textId="32727AFA" w:rsidR="00B97DF0" w:rsidRDefault="00B97DF0" w:rsidP="008F73FC">
      <w:pPr>
        <w:spacing w:after="0" w:line="480" w:lineRule="auto"/>
      </w:pPr>
      <w:r>
        <w:tab/>
        <w:t xml:space="preserve">In France, </w:t>
      </w:r>
      <w:r w:rsidR="00FD41C1">
        <w:t>national leaders have vowed to crack down on immigration and “restore order” to the nation.</w:t>
      </w:r>
      <w:r w:rsidR="00FD41C1">
        <w:rPr>
          <w:rStyle w:val="EndnoteReference"/>
        </w:rPr>
        <w:endnoteReference w:id="13"/>
      </w:r>
      <w:r w:rsidR="00A87FCE">
        <w:t xml:space="preserve"> This comes after </w:t>
      </w:r>
      <w:r w:rsidR="00AF39C5">
        <w:t>the nation passed a new</w:t>
      </w:r>
      <w:r w:rsidR="00100F18">
        <w:t>, stricter</w:t>
      </w:r>
      <w:r w:rsidR="00AF39C5">
        <w:t xml:space="preserve"> immigration act </w:t>
      </w:r>
      <w:r w:rsidR="00100F18">
        <w:t>in July of 2024.</w:t>
      </w:r>
      <w:r w:rsidR="00100F18">
        <w:rPr>
          <w:rStyle w:val="EndnoteReference"/>
        </w:rPr>
        <w:endnoteReference w:id="14"/>
      </w:r>
      <w:r w:rsidR="00100F18">
        <w:t xml:space="preserve"> The new legislation included </w:t>
      </w:r>
      <w:r w:rsidR="00BE5525">
        <w:t xml:space="preserve">measures making it more challenging for immigrants to bring their families to France, </w:t>
      </w:r>
      <w:r w:rsidR="006A4798">
        <w:t>caveats strengthening France’s deportation authority,</w:t>
      </w:r>
      <w:r w:rsidR="004E2DAC">
        <w:rPr>
          <w:rStyle w:val="EndnoteReference"/>
        </w:rPr>
        <w:endnoteReference w:id="15"/>
      </w:r>
      <w:r w:rsidR="006A4798">
        <w:t xml:space="preserve"> </w:t>
      </w:r>
      <w:r w:rsidR="008E52D9">
        <w:t>and</w:t>
      </w:r>
      <w:r w:rsidR="00EA2AE4">
        <w:t xml:space="preserve"> alterations to the government’s ability to place asylum seekers under house arrest.</w:t>
      </w:r>
      <w:r w:rsidR="00EA2AE4">
        <w:rPr>
          <w:rStyle w:val="EndnoteReference"/>
        </w:rPr>
        <w:endnoteReference w:id="16"/>
      </w:r>
    </w:p>
    <w:p w14:paraId="54469757" w14:textId="22C6E75F" w:rsidR="005B035A" w:rsidRPr="00854448" w:rsidRDefault="005B035A" w:rsidP="008F73FC">
      <w:pPr>
        <w:spacing w:after="0" w:line="480" w:lineRule="auto"/>
      </w:pPr>
      <w:r>
        <w:tab/>
        <w:t xml:space="preserve">Finally, in Germany, </w:t>
      </w:r>
      <w:r w:rsidR="00267E95">
        <w:t xml:space="preserve">the nation’s conservative </w:t>
      </w:r>
      <w:r w:rsidR="00A84BE0">
        <w:t xml:space="preserve">party has repeatedly announced its </w:t>
      </w:r>
      <w:r w:rsidR="00B0006F">
        <w:t>intentions to “crack down on immigration.”</w:t>
      </w:r>
      <w:r w:rsidR="00B0006F">
        <w:rPr>
          <w:rStyle w:val="EndnoteReference"/>
        </w:rPr>
        <w:endnoteReference w:id="17"/>
      </w:r>
      <w:r w:rsidR="00D7094B">
        <w:t xml:space="preserve"> German Chancellor Friedrich Merz was elected </w:t>
      </w:r>
      <w:r w:rsidR="00F24BE6">
        <w:t>on a platform promising as much,</w:t>
      </w:r>
      <w:r w:rsidR="00176FBF">
        <w:rPr>
          <w:rStyle w:val="EndnoteReference"/>
        </w:rPr>
        <w:endnoteReference w:id="18"/>
      </w:r>
      <w:r w:rsidR="00F24BE6">
        <w:t xml:space="preserve"> and</w:t>
      </w:r>
      <w:r w:rsidR="00280CB0">
        <w:t xml:space="preserve"> recently </w:t>
      </w:r>
      <w:r w:rsidR="00CD2C62">
        <w:t xml:space="preserve">the country </w:t>
      </w:r>
      <w:r w:rsidR="00280CB0">
        <w:t xml:space="preserve">attempted to adopt </w:t>
      </w:r>
      <w:r w:rsidR="00CD2C62">
        <w:t>a</w:t>
      </w:r>
      <w:r w:rsidR="00280CB0">
        <w:t xml:space="preserve"> regulation that would reject</w:t>
      </w:r>
      <w:r w:rsidR="00492BC0">
        <w:t xml:space="preserve"> asylum seekers at the border.</w:t>
      </w:r>
      <w:r w:rsidR="00492BC0">
        <w:rPr>
          <w:rStyle w:val="EndnoteReference"/>
        </w:rPr>
        <w:endnoteReference w:id="19"/>
      </w:r>
      <w:r w:rsidR="00DC1214">
        <w:t xml:space="preserve"> </w:t>
      </w:r>
      <w:r w:rsidR="00256D1E">
        <w:t>Given that Germany is the</w:t>
      </w:r>
      <w:r w:rsidR="00DC1214">
        <w:t xml:space="preserve"> first </w:t>
      </w:r>
      <w:r w:rsidR="00256D1E">
        <w:t xml:space="preserve">EU Member State </w:t>
      </w:r>
      <w:r w:rsidR="00DC1214">
        <w:t xml:space="preserve">to challenge the </w:t>
      </w:r>
      <w:r w:rsidR="00256D1E">
        <w:t>Dublin Regulation III,</w:t>
      </w:r>
      <w:r w:rsidR="00256D1E">
        <w:rPr>
          <w:rStyle w:val="EndnoteReference"/>
        </w:rPr>
        <w:endnoteReference w:id="20"/>
      </w:r>
      <w:r w:rsidR="00256D1E">
        <w:t xml:space="preserve"> the </w:t>
      </w:r>
      <w:r w:rsidR="00B30A39">
        <w:t xml:space="preserve">EU’s response may serve as an indicator of the </w:t>
      </w:r>
      <w:r w:rsidR="00B30A39">
        <w:lastRenderedPageBreak/>
        <w:t xml:space="preserve">organization’s unifying power and preeminent authority </w:t>
      </w:r>
      <w:r w:rsidR="00EF4063">
        <w:t xml:space="preserve">in the face of anti-immigration sentiment across the </w:t>
      </w:r>
      <w:r w:rsidR="000B66F8">
        <w:t>EU</w:t>
      </w:r>
      <w:r w:rsidR="00EF4063">
        <w:t>.</w:t>
      </w:r>
    </w:p>
    <w:p w14:paraId="09C4CD48" w14:textId="0CAC9EB4" w:rsidR="00195F29" w:rsidRPr="00DD7BA5" w:rsidRDefault="00C252E3" w:rsidP="003A3283">
      <w:pPr>
        <w:pStyle w:val="ListParagraph"/>
        <w:numPr>
          <w:ilvl w:val="0"/>
          <w:numId w:val="4"/>
        </w:numPr>
        <w:spacing w:after="0" w:line="480" w:lineRule="auto"/>
        <w:rPr>
          <w:b/>
          <w:bCs/>
        </w:rPr>
      </w:pPr>
      <w:r w:rsidRPr="00DD7BA5">
        <w:rPr>
          <w:b/>
          <w:bCs/>
        </w:rPr>
        <w:t>The</w:t>
      </w:r>
      <w:r w:rsidR="00CD2C62" w:rsidRPr="00DD7BA5">
        <w:rPr>
          <w:b/>
          <w:bCs/>
        </w:rPr>
        <w:t xml:space="preserve"> Dublin III Regulation and the</w:t>
      </w:r>
      <w:r w:rsidRPr="00DD7BA5">
        <w:rPr>
          <w:b/>
          <w:bCs/>
        </w:rPr>
        <w:t xml:space="preserve"> EU’s Legal Framework for Asylum Seekers</w:t>
      </w:r>
    </w:p>
    <w:p w14:paraId="3662FE83" w14:textId="6DA7CBBC" w:rsidR="00E06AA3" w:rsidRDefault="00CD2C62" w:rsidP="008F73FC">
      <w:pPr>
        <w:spacing w:after="0" w:line="480" w:lineRule="auto"/>
        <w:ind w:firstLine="720"/>
      </w:pPr>
      <w:r>
        <w:t>Broadly</w:t>
      </w:r>
      <w:r w:rsidR="00F03DD6">
        <w:t xml:space="preserve">, the European Union </w:t>
      </w:r>
      <w:r w:rsidR="00A003A2">
        <w:t>aims to “establish a balanced approach”</w:t>
      </w:r>
      <w:r w:rsidR="003B5F0D">
        <w:t xml:space="preserve"> in their management of immigration by creating a “forward-looking and comprehensive” immigration policy</w:t>
      </w:r>
      <w:r w:rsidR="00AE65C3">
        <w:t>.</w:t>
      </w:r>
      <w:r w:rsidR="00AE65C3">
        <w:rPr>
          <w:rStyle w:val="EndnoteReference"/>
        </w:rPr>
        <w:endnoteReference w:id="21"/>
      </w:r>
      <w:r w:rsidR="004356A8">
        <w:t xml:space="preserve"> </w:t>
      </w:r>
      <w:r w:rsidR="002B40A0">
        <w:t>The intention is</w:t>
      </w:r>
      <w:r w:rsidR="00594764">
        <w:t xml:space="preserve"> to “establish a uniform level of rights and obligations” </w:t>
      </w:r>
      <w:r w:rsidR="00EE0CEC">
        <w:t>for immigrants across EU Member States</w:t>
      </w:r>
      <w:r w:rsidR="00722EC6">
        <w:t>,</w:t>
      </w:r>
      <w:r w:rsidR="00EE0CEC">
        <w:rPr>
          <w:rStyle w:val="EndnoteReference"/>
        </w:rPr>
        <w:endnoteReference w:id="22"/>
      </w:r>
      <w:r w:rsidR="00722EC6">
        <w:t xml:space="preserve"> and </w:t>
      </w:r>
      <w:r w:rsidR="002B40A0">
        <w:t xml:space="preserve">to </w:t>
      </w:r>
      <w:r w:rsidR="00722EC6">
        <w:t>further the EU’s assertion that asylum is a “fundamental right”</w:t>
      </w:r>
      <w:r w:rsidR="00F529BF">
        <w:t xml:space="preserve"> for which Member States are obligated to help shoulder the international </w:t>
      </w:r>
      <w:r w:rsidR="00B137A3">
        <w:t>burden</w:t>
      </w:r>
      <w:r w:rsidR="00F529BF">
        <w:t>.</w:t>
      </w:r>
      <w:r w:rsidR="00F529BF">
        <w:rPr>
          <w:rStyle w:val="EndnoteReference"/>
        </w:rPr>
        <w:endnoteReference w:id="23"/>
      </w:r>
      <w:r w:rsidR="00E06AA3">
        <w:t xml:space="preserve"> </w:t>
      </w:r>
    </w:p>
    <w:p w14:paraId="591406F8" w14:textId="14D8553F" w:rsidR="00E06AA3" w:rsidRDefault="00F24E36" w:rsidP="008F73FC">
      <w:pPr>
        <w:spacing w:after="0" w:line="480" w:lineRule="auto"/>
        <w:ind w:firstLine="720"/>
      </w:pPr>
      <w:r>
        <w:t>The Common European Asylum System (CEAS)</w:t>
      </w:r>
      <w:r w:rsidR="00095C40">
        <w:t xml:space="preserve"> is a legal framework specifically targeted at asylum seekers within the EU.</w:t>
      </w:r>
      <w:r w:rsidR="00095C40">
        <w:rPr>
          <w:rStyle w:val="EndnoteReference"/>
        </w:rPr>
        <w:endnoteReference w:id="24"/>
      </w:r>
      <w:r w:rsidR="0018559F">
        <w:t xml:space="preserve"> Once again emphasizing the “shared responsibility” amongst Member States, CEAS </w:t>
      </w:r>
      <w:r w:rsidR="007B3B52">
        <w:t xml:space="preserve">serves as a cohesive </w:t>
      </w:r>
      <w:r w:rsidR="002A28BC">
        <w:t xml:space="preserve">legal structure </w:t>
      </w:r>
      <w:r w:rsidR="009511F0">
        <w:t>guaranteeing “harmonized and uniform standards” for individuals seeking asylum in the EU.</w:t>
      </w:r>
      <w:r w:rsidR="009511F0">
        <w:rPr>
          <w:rStyle w:val="EndnoteReference"/>
        </w:rPr>
        <w:endnoteReference w:id="25"/>
      </w:r>
      <w:r w:rsidR="005849D7">
        <w:t xml:space="preserve"> </w:t>
      </w:r>
      <w:r w:rsidR="00CD68D5">
        <w:t xml:space="preserve">Since its initiation, CEAS has undergone a series of reforms and adaptations in an attempt to meet the </w:t>
      </w:r>
      <w:r w:rsidR="0099759E">
        <w:t>range of pressures that EU nations have experienced</w:t>
      </w:r>
      <w:r w:rsidR="000B4A82">
        <w:t xml:space="preserve"> </w:t>
      </w:r>
      <w:r w:rsidR="003C5EFB">
        <w:t>regarding</w:t>
      </w:r>
      <w:r w:rsidR="000B4A82">
        <w:t xml:space="preserve"> asylum seekers.</w:t>
      </w:r>
      <w:r w:rsidR="0099759E">
        <w:rPr>
          <w:rStyle w:val="EndnoteReference"/>
        </w:rPr>
        <w:endnoteReference w:id="26"/>
      </w:r>
      <w:r w:rsidR="0099759E">
        <w:t xml:space="preserve"> </w:t>
      </w:r>
    </w:p>
    <w:p w14:paraId="2CB3C94E" w14:textId="33663116" w:rsidR="004B3081" w:rsidRDefault="00111D2D" w:rsidP="008F73FC">
      <w:pPr>
        <w:spacing w:after="0" w:line="480" w:lineRule="auto"/>
        <w:ind w:firstLine="720"/>
      </w:pPr>
      <w:r>
        <w:t>EU Regulation No. 604/2013</w:t>
      </w:r>
      <w:r w:rsidR="00114E93">
        <w:rPr>
          <w:rStyle w:val="EndnoteReference"/>
        </w:rPr>
        <w:endnoteReference w:id="27"/>
      </w:r>
      <w:r>
        <w:t xml:space="preserve"> (the “Dublin III Regulation”)</w:t>
      </w:r>
      <w:r w:rsidR="00682F6C">
        <w:t xml:space="preserve"> </w:t>
      </w:r>
      <w:r w:rsidR="003D5739">
        <w:t xml:space="preserve">is </w:t>
      </w:r>
      <w:r w:rsidR="007A0446">
        <w:t>one</w:t>
      </w:r>
      <w:r w:rsidR="003D5739">
        <w:t xml:space="preserve"> attempt to </w:t>
      </w:r>
      <w:r w:rsidR="00114E93">
        <w:t>improve</w:t>
      </w:r>
      <w:r w:rsidR="009C6DB0">
        <w:t xml:space="preserve"> the asylum system in the EU.</w:t>
      </w:r>
      <w:r w:rsidR="009C6DB0">
        <w:rPr>
          <w:rStyle w:val="EndnoteReference"/>
        </w:rPr>
        <w:endnoteReference w:id="28"/>
      </w:r>
      <w:r w:rsidR="00114E93">
        <w:t xml:space="preserve"> </w:t>
      </w:r>
      <w:r w:rsidR="00F64B3D">
        <w:t xml:space="preserve">In an </w:t>
      </w:r>
      <w:r w:rsidR="003C5EFB">
        <w:t>effort</w:t>
      </w:r>
      <w:r w:rsidR="00F64B3D">
        <w:t xml:space="preserve"> to establish </w:t>
      </w:r>
      <w:r w:rsidR="003913F0">
        <w:t>more protections for applicants</w:t>
      </w:r>
      <w:r w:rsidR="00283C07">
        <w:t>,</w:t>
      </w:r>
      <w:r w:rsidR="003913F0">
        <w:t xml:space="preserve"> </w:t>
      </w:r>
      <w:r w:rsidR="00283C07">
        <w:t>institute</w:t>
      </w:r>
      <w:r w:rsidR="003913F0">
        <w:t xml:space="preserve"> an earlier detection system for problems regarding </w:t>
      </w:r>
      <w:r w:rsidR="004426D8">
        <w:t>the system as a whole,</w:t>
      </w:r>
      <w:r w:rsidR="004426D8">
        <w:rPr>
          <w:rStyle w:val="EndnoteReference"/>
        </w:rPr>
        <w:endnoteReference w:id="29"/>
      </w:r>
      <w:r w:rsidR="00E63E8E">
        <w:t xml:space="preserve"> and ensure </w:t>
      </w:r>
      <w:r w:rsidR="00E655F4">
        <w:t>the quick, uniform examination of applications,</w:t>
      </w:r>
      <w:r w:rsidR="00E655F4">
        <w:rPr>
          <w:rStyle w:val="EndnoteReference"/>
        </w:rPr>
        <w:endnoteReference w:id="30"/>
      </w:r>
      <w:r w:rsidR="004426D8">
        <w:t xml:space="preserve"> t</w:t>
      </w:r>
      <w:r w:rsidR="00114E93">
        <w:t xml:space="preserve">he Dublin III Regulation </w:t>
      </w:r>
      <w:r w:rsidR="00682F6C">
        <w:t>establishes “the criteria and mechanisms for determining the Member State responsible for examining an asylum application.”</w:t>
      </w:r>
      <w:r w:rsidR="00682F6C">
        <w:rPr>
          <w:rStyle w:val="EndnoteReference"/>
        </w:rPr>
        <w:endnoteReference w:id="31"/>
      </w:r>
      <w:r w:rsidR="002459D0">
        <w:t xml:space="preserve"> </w:t>
      </w:r>
      <w:r w:rsidR="00E40362">
        <w:t xml:space="preserve">The regulation </w:t>
      </w:r>
      <w:r w:rsidR="001A45AB">
        <w:t>requires that Member Sta</w:t>
      </w:r>
      <w:r w:rsidR="00014CA7">
        <w:t>t</w:t>
      </w:r>
      <w:r w:rsidR="001A45AB">
        <w:t>es examine “</w:t>
      </w:r>
      <w:r w:rsidR="001A45AB">
        <w:rPr>
          <w:i/>
          <w:iCs/>
        </w:rPr>
        <w:t>any</w:t>
      </w:r>
      <w:r w:rsidR="001A45AB">
        <w:t xml:space="preserve"> application for international protection</w:t>
      </w:r>
      <w:r w:rsidR="000F6771">
        <w:t>” that is filed in a</w:t>
      </w:r>
      <w:r w:rsidR="00014CA7">
        <w:t>n EU Member State.</w:t>
      </w:r>
      <w:r w:rsidR="00014CA7">
        <w:rPr>
          <w:rStyle w:val="EndnoteReference"/>
        </w:rPr>
        <w:endnoteReference w:id="32"/>
      </w:r>
      <w:r w:rsidR="006D645E">
        <w:t xml:space="preserve"> </w:t>
      </w:r>
      <w:r w:rsidR="008F02F2">
        <w:t xml:space="preserve">However, only one Member State need </w:t>
      </w:r>
      <w:r w:rsidR="00D879D2">
        <w:t>examine each application.</w:t>
      </w:r>
      <w:r w:rsidR="00D879D2">
        <w:rPr>
          <w:rStyle w:val="EndnoteReference"/>
        </w:rPr>
        <w:endnoteReference w:id="33"/>
      </w:r>
      <w:r w:rsidR="00D879D2">
        <w:t xml:space="preserve"> </w:t>
      </w:r>
    </w:p>
    <w:p w14:paraId="0DE4FA4D" w14:textId="62D47F47" w:rsidR="00560460" w:rsidRDefault="006D645E" w:rsidP="008F73FC">
      <w:pPr>
        <w:spacing w:after="0" w:line="480" w:lineRule="auto"/>
        <w:ind w:firstLine="720"/>
      </w:pPr>
      <w:r>
        <w:lastRenderedPageBreak/>
        <w:t xml:space="preserve">In assessing </w:t>
      </w:r>
      <w:r w:rsidR="004C2874">
        <w:t xml:space="preserve">which Member State shall be responsible for </w:t>
      </w:r>
      <w:r w:rsidR="00D9583B">
        <w:t xml:space="preserve">an applicant, the regulation sets out a “hierarchy of criteria” to </w:t>
      </w:r>
      <w:r w:rsidR="008E6474">
        <w:t>be applied.</w:t>
      </w:r>
      <w:r w:rsidR="008E6474">
        <w:rPr>
          <w:rStyle w:val="EndnoteReference"/>
        </w:rPr>
        <w:endnoteReference w:id="34"/>
      </w:r>
      <w:r w:rsidR="00402150">
        <w:t xml:space="preserve"> </w:t>
      </w:r>
      <w:r w:rsidR="001E289E">
        <w:t xml:space="preserve">The first tier of criteria includes </w:t>
      </w:r>
      <w:r w:rsidR="00BD54A3">
        <w:t xml:space="preserve">various </w:t>
      </w:r>
      <w:r w:rsidR="008D73B3">
        <w:t>factors regarding the applicant’s potential family considerations within the EU.</w:t>
      </w:r>
      <w:r w:rsidR="008D73B3">
        <w:rPr>
          <w:rStyle w:val="EndnoteReference"/>
        </w:rPr>
        <w:endnoteReference w:id="35"/>
      </w:r>
      <w:r w:rsidR="00BD54A3">
        <w:t xml:space="preserve"> </w:t>
      </w:r>
      <w:r w:rsidR="003D7AE1">
        <w:t>These</w:t>
      </w:r>
      <w:r w:rsidR="00D80762">
        <w:t xml:space="preserve"> considerations include </w:t>
      </w:r>
      <w:r w:rsidR="00A87528">
        <w:t>whether the applicant is an unaccompanied minor with family residing in anothe</w:t>
      </w:r>
      <w:r w:rsidR="00581C7C">
        <w:t xml:space="preserve">r member state, </w:t>
      </w:r>
      <w:r w:rsidR="00E426F2">
        <w:t xml:space="preserve">has a family member who is receiving or is soon to receive international protection, </w:t>
      </w:r>
      <w:r w:rsidR="0021766B">
        <w:t>or has multiple family members who</w:t>
      </w:r>
      <w:r w:rsidR="00F5700E">
        <w:t xml:space="preserve"> have filed for asylum </w:t>
      </w:r>
      <w:r w:rsidR="003D7AE1">
        <w:t>in a particular Member State.</w:t>
      </w:r>
      <w:r w:rsidR="003D7AE1">
        <w:rPr>
          <w:rStyle w:val="EndnoteReference"/>
        </w:rPr>
        <w:endnoteReference w:id="36"/>
      </w:r>
      <w:r w:rsidR="00517937">
        <w:t xml:space="preserve"> </w:t>
      </w:r>
      <w:r w:rsidR="000F45F4">
        <w:t xml:space="preserve">The second tier revolves around the </w:t>
      </w:r>
      <w:r w:rsidR="00927361">
        <w:t>applicant’s</w:t>
      </w:r>
      <w:r w:rsidR="000F45F4">
        <w:t xml:space="preserve"> possession of a visa or residence permit in one of the Member States.</w:t>
      </w:r>
      <w:r w:rsidR="000F45F4">
        <w:rPr>
          <w:rStyle w:val="EndnoteReference"/>
        </w:rPr>
        <w:endnoteReference w:id="37"/>
      </w:r>
      <w:r w:rsidR="004A4971">
        <w:t xml:space="preserve"> A valid residence document or visa, </w:t>
      </w:r>
      <w:r w:rsidR="008D27F7">
        <w:t xml:space="preserve">a recently expired residence document or visa, </w:t>
      </w:r>
      <w:r w:rsidR="007F4BF4">
        <w:t xml:space="preserve">and even a residence document or visa acquired on the basis of a false or assumed identity, under particular circumstances, </w:t>
      </w:r>
      <w:r w:rsidR="00566700">
        <w:t xml:space="preserve">may </w:t>
      </w:r>
      <w:r w:rsidR="0037206A">
        <w:t>indicate the Member State responsible for processing an individual’s application.</w:t>
      </w:r>
      <w:r w:rsidR="0037206A">
        <w:rPr>
          <w:rStyle w:val="EndnoteReference"/>
        </w:rPr>
        <w:endnoteReference w:id="38"/>
      </w:r>
      <w:r w:rsidR="00533A12">
        <w:t xml:space="preserve"> </w:t>
      </w:r>
      <w:r w:rsidR="00566700">
        <w:t>The third tier</w:t>
      </w:r>
      <w:r w:rsidR="00A7631B">
        <w:t xml:space="preserve"> </w:t>
      </w:r>
      <w:r w:rsidR="00AC2E58">
        <w:t>contends with the applicant’s physical entry into the EU.</w:t>
      </w:r>
      <w:r w:rsidR="00AC2E58">
        <w:rPr>
          <w:rStyle w:val="EndnoteReference"/>
        </w:rPr>
        <w:endnoteReference w:id="39"/>
      </w:r>
      <w:r w:rsidR="00072900">
        <w:t xml:space="preserve"> </w:t>
      </w:r>
      <w:r w:rsidR="00E67292">
        <w:t xml:space="preserve">If it is properly established that </w:t>
      </w:r>
      <w:r w:rsidR="00FD4745">
        <w:t xml:space="preserve">an applicant “has irregularly crossed the border into a Member State” </w:t>
      </w:r>
      <w:r w:rsidR="006E38D3">
        <w:t>from a third country, the Member State that the applicant entered will be responsible for their application</w:t>
      </w:r>
      <w:r w:rsidR="002C0543">
        <w:t>.</w:t>
      </w:r>
      <w:r w:rsidR="006E38D3">
        <w:rPr>
          <w:rStyle w:val="EndnoteReference"/>
        </w:rPr>
        <w:endnoteReference w:id="40"/>
      </w:r>
      <w:r w:rsidR="00773F6C">
        <w:t xml:space="preserve"> </w:t>
      </w:r>
      <w:r w:rsidR="005847D9">
        <w:t>It also cl</w:t>
      </w:r>
      <w:r w:rsidR="00F95DD4">
        <w:t>arifies that living in a Member State continuously for five months</w:t>
      </w:r>
      <w:r w:rsidR="00A65676">
        <w:t xml:space="preserve">, entering a Member State legally, and entering a Member State via an international transit area </w:t>
      </w:r>
      <w:r w:rsidR="00ED719A">
        <w:t xml:space="preserve">assigns </w:t>
      </w:r>
      <w:r w:rsidR="00F146CF">
        <w:t xml:space="preserve">processing </w:t>
      </w:r>
      <w:r w:rsidR="00ED719A">
        <w:t>responsibility to the relevant Member State.</w:t>
      </w:r>
      <w:r w:rsidR="00ED719A">
        <w:rPr>
          <w:rStyle w:val="EndnoteReference"/>
        </w:rPr>
        <w:endnoteReference w:id="41"/>
      </w:r>
      <w:r w:rsidR="00FA6B02">
        <w:t xml:space="preserve"> </w:t>
      </w:r>
      <w:r w:rsidR="00233D25">
        <w:t xml:space="preserve">In its entirety, the Dublin III Regulation ensures clarity of procedure in determining which Member State is responsible for an asylum seeker and </w:t>
      </w:r>
      <w:r w:rsidR="00B94B15">
        <w:t>equal distribution of responsibility among all Member States.</w:t>
      </w:r>
      <w:r w:rsidR="00B94B15">
        <w:rPr>
          <w:rStyle w:val="EndnoteReference"/>
        </w:rPr>
        <w:endnoteReference w:id="42"/>
      </w:r>
    </w:p>
    <w:p w14:paraId="49934BC3" w14:textId="7603F3B2" w:rsidR="0052496D" w:rsidRPr="00DD7BA5" w:rsidRDefault="0052496D" w:rsidP="003A3283">
      <w:pPr>
        <w:pStyle w:val="ListParagraph"/>
        <w:numPr>
          <w:ilvl w:val="0"/>
          <w:numId w:val="4"/>
        </w:numPr>
        <w:spacing w:after="0" w:line="480" w:lineRule="auto"/>
        <w:rPr>
          <w:b/>
          <w:bCs/>
        </w:rPr>
      </w:pPr>
      <w:r w:rsidRPr="00DD7BA5">
        <w:rPr>
          <w:b/>
          <w:bCs/>
        </w:rPr>
        <w:t>Pushback Against the European Union: Germany’s Attack on Dublin III</w:t>
      </w:r>
    </w:p>
    <w:p w14:paraId="4B201B3B" w14:textId="0C45E5AF" w:rsidR="00034B59" w:rsidRDefault="007468D2" w:rsidP="008F73FC">
      <w:pPr>
        <w:spacing w:after="0" w:line="480" w:lineRule="auto"/>
        <w:ind w:firstLine="720"/>
      </w:pPr>
      <w:r>
        <w:t xml:space="preserve">In a recent decision </w:t>
      </w:r>
      <w:r w:rsidR="007029FB">
        <w:t xml:space="preserve">from the </w:t>
      </w:r>
      <w:r w:rsidR="00450211">
        <w:t xml:space="preserve">Berlin Administrative Court, </w:t>
      </w:r>
      <w:r w:rsidR="00026BFB">
        <w:t xml:space="preserve">the Dublin III Regulation’s </w:t>
      </w:r>
      <w:r w:rsidR="00DE6524">
        <w:t>strength was tested.</w:t>
      </w:r>
      <w:r w:rsidR="00DE6524">
        <w:rPr>
          <w:rStyle w:val="EndnoteReference"/>
        </w:rPr>
        <w:endnoteReference w:id="43"/>
      </w:r>
      <w:r w:rsidR="00B554AD">
        <w:t xml:space="preserve"> </w:t>
      </w:r>
      <w:r w:rsidR="00CA0927">
        <w:t>The case arose after a Somali citizen, who first entered the EU in Lithuania in April</w:t>
      </w:r>
      <w:r w:rsidR="00126F38">
        <w:t xml:space="preserve"> 2025 but then travelled </w:t>
      </w:r>
      <w:r w:rsidR="00C60E12">
        <w:t xml:space="preserve">through Poland to Germany by train, attempted to apply for </w:t>
      </w:r>
      <w:r w:rsidR="00C60E12">
        <w:lastRenderedPageBreak/>
        <w:t>asylum in Germany.</w:t>
      </w:r>
      <w:r w:rsidR="00D14EF3">
        <w:rPr>
          <w:rStyle w:val="EndnoteReference"/>
        </w:rPr>
        <w:endnoteReference w:id="44"/>
      </w:r>
      <w:r w:rsidR="00340DB4">
        <w:t xml:space="preserve"> However, instead of processing her a</w:t>
      </w:r>
      <w:r w:rsidR="006B7F2E">
        <w:t xml:space="preserve">sylum application, the German government </w:t>
      </w:r>
      <w:r w:rsidR="00DE1FDD">
        <w:t>denied her entry and sent her back to Poland.</w:t>
      </w:r>
      <w:r w:rsidR="00DE1FDD">
        <w:rPr>
          <w:rStyle w:val="EndnoteReference"/>
        </w:rPr>
        <w:endnoteReference w:id="45"/>
      </w:r>
      <w:r w:rsidR="00DE1FDD">
        <w:t xml:space="preserve"> </w:t>
      </w:r>
      <w:r w:rsidR="006D4A6D">
        <w:t>The</w:t>
      </w:r>
      <w:r w:rsidR="00E02C42">
        <w:t xml:space="preserve"> German government </w:t>
      </w:r>
      <w:r w:rsidR="00C5778B">
        <w:t>declined</w:t>
      </w:r>
      <w:r w:rsidR="00E02C42">
        <w:t xml:space="preserve"> her application </w:t>
      </w:r>
      <w:r w:rsidR="005B3BCA">
        <w:t xml:space="preserve">in </w:t>
      </w:r>
      <w:r w:rsidR="00E02C42">
        <w:t xml:space="preserve">reliance on </w:t>
      </w:r>
      <w:r w:rsidR="005B3BCA">
        <w:t xml:space="preserve">an </w:t>
      </w:r>
      <w:r w:rsidR="00E02C42">
        <w:t xml:space="preserve">oral directive from </w:t>
      </w:r>
      <w:r w:rsidR="005E4509">
        <w:t xml:space="preserve">the German </w:t>
      </w:r>
      <w:r w:rsidR="005B3BCA">
        <w:t>M</w:t>
      </w:r>
      <w:r w:rsidR="005E4509">
        <w:t xml:space="preserve">inister of the </w:t>
      </w:r>
      <w:r w:rsidR="005B3BCA">
        <w:t>I</w:t>
      </w:r>
      <w:r w:rsidR="005E4509">
        <w:t>nterior</w:t>
      </w:r>
      <w:r w:rsidR="001360BE">
        <w:t xml:space="preserve">, </w:t>
      </w:r>
      <w:r w:rsidR="005E4509">
        <w:t xml:space="preserve">which </w:t>
      </w:r>
      <w:r w:rsidR="001360BE">
        <w:t xml:space="preserve">provides Germany with the ability to return asylum seekers </w:t>
      </w:r>
      <w:r w:rsidR="0005576A">
        <w:t>to a “safe third country” if possible.</w:t>
      </w:r>
      <w:r w:rsidR="0005576A">
        <w:rPr>
          <w:rStyle w:val="EndnoteReference"/>
        </w:rPr>
        <w:endnoteReference w:id="46"/>
      </w:r>
      <w:r w:rsidR="002B5E5D">
        <w:t xml:space="preserve"> However, given that </w:t>
      </w:r>
      <w:r w:rsidR="00493CC7">
        <w:t xml:space="preserve">EU law takes precedence over </w:t>
      </w:r>
      <w:r w:rsidR="009072FF">
        <w:t>a Member State’s own law,</w:t>
      </w:r>
      <w:r w:rsidR="009072FF">
        <w:rPr>
          <w:rStyle w:val="EndnoteReference"/>
        </w:rPr>
        <w:endnoteReference w:id="47"/>
      </w:r>
      <w:r w:rsidR="009072FF">
        <w:t xml:space="preserve"> the Court held </w:t>
      </w:r>
      <w:r w:rsidR="009C6BF5">
        <w:t xml:space="preserve">that </w:t>
      </w:r>
      <w:r w:rsidR="00D22BE1">
        <w:t>Germany must comply with the Dublin III Regulation</w:t>
      </w:r>
      <w:r w:rsidR="00747891">
        <w:t xml:space="preserve"> “before a return decision may be made.”</w:t>
      </w:r>
      <w:r w:rsidR="00747891">
        <w:rPr>
          <w:rStyle w:val="EndnoteReference"/>
        </w:rPr>
        <w:endnoteReference w:id="48"/>
      </w:r>
    </w:p>
    <w:p w14:paraId="6A9DE3D2" w14:textId="526AEBEA" w:rsidR="00D66D55" w:rsidRDefault="00747891" w:rsidP="008F73FC">
      <w:pPr>
        <w:spacing w:after="0" w:line="480" w:lineRule="auto"/>
      </w:pPr>
      <w:r>
        <w:tab/>
      </w:r>
      <w:r w:rsidR="00CD512A">
        <w:t xml:space="preserve">Not only did the </w:t>
      </w:r>
      <w:r w:rsidR="008840CE">
        <w:t xml:space="preserve">Court decline to allow German law to supersede the uniform procedures of </w:t>
      </w:r>
      <w:r w:rsidR="00A6681A">
        <w:t xml:space="preserve">the </w:t>
      </w:r>
      <w:r w:rsidR="008840CE">
        <w:t>Dublin III</w:t>
      </w:r>
      <w:r w:rsidR="00A6681A">
        <w:t xml:space="preserve"> Regulation</w:t>
      </w:r>
      <w:r w:rsidR="008840CE">
        <w:t xml:space="preserve">, but it also rejected a number of the German </w:t>
      </w:r>
      <w:r w:rsidR="009E08E1">
        <w:t xml:space="preserve">government’s arguments </w:t>
      </w:r>
      <w:r w:rsidR="00D22BE1">
        <w:t>for why</w:t>
      </w:r>
      <w:r w:rsidR="009E08E1">
        <w:t xml:space="preserve"> the EU laws regarding immigration, such as Dublin III, should not be applicable to them.</w:t>
      </w:r>
      <w:r w:rsidR="009E08E1">
        <w:rPr>
          <w:rStyle w:val="EndnoteReference"/>
        </w:rPr>
        <w:endnoteReference w:id="49"/>
      </w:r>
      <w:r w:rsidR="0085213C">
        <w:t xml:space="preserve"> Although the German government </w:t>
      </w:r>
      <w:r w:rsidR="00E73F26">
        <w:t xml:space="preserve">attempted to argue that Dublin III was inapplicable due to its “dysfunctionality,” </w:t>
      </w:r>
      <w:r w:rsidR="00E5213F">
        <w:t xml:space="preserve">the Court </w:t>
      </w:r>
      <w:r w:rsidR="00664AE8">
        <w:t>reiterated</w:t>
      </w:r>
      <w:r w:rsidR="00664AE8">
        <w:rPr>
          <w:rStyle w:val="EndnoteReference"/>
        </w:rPr>
        <w:endnoteReference w:id="50"/>
      </w:r>
      <w:r w:rsidR="00B80CDA">
        <w:t xml:space="preserve"> that </w:t>
      </w:r>
      <w:r w:rsidR="009C0690">
        <w:t xml:space="preserve">the “arrival of an unusually large number of third-country nationals” </w:t>
      </w:r>
      <w:r w:rsidR="00664AE8">
        <w:t>is an inadequate reason for a Member State to refuse compliance with EU legislation regarding asylum seekers.</w:t>
      </w:r>
      <w:r w:rsidR="00664AE8">
        <w:rPr>
          <w:rStyle w:val="EndnoteReference"/>
        </w:rPr>
        <w:endnoteReference w:id="51"/>
      </w:r>
      <w:r w:rsidR="00624A0E">
        <w:t xml:space="preserve"> The Court also </w:t>
      </w:r>
      <w:r w:rsidR="000E316C">
        <w:t xml:space="preserve">reiterated that Article 72 of </w:t>
      </w:r>
      <w:r w:rsidR="002E2678">
        <w:t xml:space="preserve">the Treaty on the Functioning of the European Union, which allows </w:t>
      </w:r>
      <w:r w:rsidR="0005144C">
        <w:t xml:space="preserve">EU Member States to derogate from EU law </w:t>
      </w:r>
      <w:r w:rsidR="00E119F2">
        <w:t>to protect national security,</w:t>
      </w:r>
      <w:r w:rsidR="00E119F2">
        <w:rPr>
          <w:rStyle w:val="EndnoteReference"/>
        </w:rPr>
        <w:endnoteReference w:id="52"/>
      </w:r>
      <w:r w:rsidR="0088449F">
        <w:t xml:space="preserve"> is to be strictly interpreted and remains inapplicable here.</w:t>
      </w:r>
      <w:r w:rsidR="0088449F">
        <w:rPr>
          <w:rStyle w:val="EndnoteReference"/>
        </w:rPr>
        <w:endnoteReference w:id="53"/>
      </w:r>
      <w:r w:rsidR="009F35B3">
        <w:t xml:space="preserve"> Although the court did allow</w:t>
      </w:r>
      <w:r w:rsidR="00DB3675">
        <w:t xml:space="preserve"> the individual’s application to be processed at the border</w:t>
      </w:r>
      <w:r w:rsidR="00C667B6">
        <w:t xml:space="preserve">, </w:t>
      </w:r>
      <w:r w:rsidR="00DB3675">
        <w:t xml:space="preserve">they made it clear </w:t>
      </w:r>
      <w:r w:rsidR="00C62664">
        <w:t xml:space="preserve">the German government </w:t>
      </w:r>
      <w:r w:rsidR="00D66D55">
        <w:t>failed to provide an adequate reason for any departure from uniform EU law like the Dublin III Regulation.</w:t>
      </w:r>
      <w:r w:rsidR="00D66D55">
        <w:rPr>
          <w:rStyle w:val="EndnoteReference"/>
        </w:rPr>
        <w:endnoteReference w:id="54"/>
      </w:r>
    </w:p>
    <w:p w14:paraId="692E7BA4" w14:textId="03EAC5B5" w:rsidR="00D66D55" w:rsidRDefault="003A3283" w:rsidP="003A3283">
      <w:pPr>
        <w:spacing w:after="0" w:line="480" w:lineRule="auto"/>
        <w:rPr>
          <w:b/>
          <w:bCs/>
        </w:rPr>
      </w:pPr>
      <w:r>
        <w:rPr>
          <w:b/>
          <w:bCs/>
        </w:rPr>
        <w:t xml:space="preserve"> V.   </w:t>
      </w:r>
      <w:r w:rsidR="00F87ADA">
        <w:rPr>
          <w:b/>
          <w:bCs/>
        </w:rPr>
        <w:t>The European Union’s Role in the Face of Rising Anti-Immigration Sentiment</w:t>
      </w:r>
    </w:p>
    <w:p w14:paraId="2742A686" w14:textId="1EB6F1BA" w:rsidR="00941F7C" w:rsidRDefault="00F557E4" w:rsidP="008F73FC">
      <w:pPr>
        <w:spacing w:after="0" w:line="480" w:lineRule="auto"/>
      </w:pPr>
      <w:r>
        <w:tab/>
        <w:t xml:space="preserve">In the face of </w:t>
      </w:r>
      <w:r w:rsidR="009C7919">
        <w:t xml:space="preserve">rising anti-immigration sentiment across the </w:t>
      </w:r>
      <w:r w:rsidR="000B66F8">
        <w:t>EU</w:t>
      </w:r>
      <w:r w:rsidR="009C7919">
        <w:t xml:space="preserve">, the Berlin </w:t>
      </w:r>
      <w:r w:rsidR="002811B8">
        <w:t>Administrative Court</w:t>
      </w:r>
      <w:r w:rsidR="00CC5C29">
        <w:t>’s</w:t>
      </w:r>
      <w:r w:rsidR="002811B8">
        <w:t xml:space="preserve"> strong adherence to the primac</w:t>
      </w:r>
      <w:r w:rsidR="008B125E">
        <w:t>y of EU</w:t>
      </w:r>
      <w:r w:rsidR="003400B7">
        <w:t xml:space="preserve"> law</w:t>
      </w:r>
      <w:r w:rsidR="008B125E">
        <w:rPr>
          <w:rStyle w:val="EndnoteReference"/>
        </w:rPr>
        <w:endnoteReference w:id="55"/>
      </w:r>
      <w:r w:rsidR="008B125E">
        <w:t xml:space="preserve"> serves as a testament to the role </w:t>
      </w:r>
      <w:r w:rsidR="00FA204F">
        <w:t>those</w:t>
      </w:r>
      <w:r w:rsidR="008B125E">
        <w:t xml:space="preserve"> </w:t>
      </w:r>
      <w:r w:rsidR="003767FF">
        <w:t>regulations</w:t>
      </w:r>
      <w:r w:rsidR="008B125E">
        <w:t xml:space="preserve"> can play in coming battles </w:t>
      </w:r>
      <w:r w:rsidR="00B373C1">
        <w:t>with Member States</w:t>
      </w:r>
      <w:r w:rsidR="008B125E">
        <w:t xml:space="preserve">. </w:t>
      </w:r>
      <w:r w:rsidR="00CE7C24">
        <w:t xml:space="preserve">The EU </w:t>
      </w:r>
      <w:r w:rsidR="006429DD">
        <w:t xml:space="preserve">highly values the assurance </w:t>
      </w:r>
      <w:r w:rsidR="006429DD">
        <w:lastRenderedPageBreak/>
        <w:t xml:space="preserve">of “non-refoulement,” or </w:t>
      </w:r>
      <w:r w:rsidR="001D6016">
        <w:t>ensuring that no one seeking asylum is “sent back to persecution,”</w:t>
      </w:r>
      <w:r w:rsidR="001D6016">
        <w:rPr>
          <w:rStyle w:val="EndnoteReference"/>
        </w:rPr>
        <w:endnoteReference w:id="56"/>
      </w:r>
      <w:r w:rsidR="009B184A">
        <w:t xml:space="preserve"> but </w:t>
      </w:r>
      <w:proofErr w:type="gramStart"/>
      <w:r w:rsidR="009B184A">
        <w:t>it is clear that those</w:t>
      </w:r>
      <w:proofErr w:type="gramEnd"/>
      <w:r w:rsidR="009B184A">
        <w:t xml:space="preserve"> values are being challenged </w:t>
      </w:r>
      <w:r w:rsidR="005C377E">
        <w:t xml:space="preserve">across the </w:t>
      </w:r>
      <w:r w:rsidR="000B66F8">
        <w:t>EU</w:t>
      </w:r>
      <w:r w:rsidR="005C377E">
        <w:t>. However, the establishment of “an area of freedom</w:t>
      </w:r>
      <w:r w:rsidR="00115374">
        <w:t xml:space="preserve">,” </w:t>
      </w:r>
      <w:r w:rsidR="004D2F04">
        <w:t>back</w:t>
      </w:r>
      <w:r w:rsidR="00115374">
        <w:t>ed</w:t>
      </w:r>
      <w:r w:rsidR="004D2F04">
        <w:t xml:space="preserve"> by a common asylum policy across all Member States</w:t>
      </w:r>
      <w:r w:rsidR="00115374">
        <w:t>,</w:t>
      </w:r>
      <w:r w:rsidR="00581887">
        <w:t xml:space="preserve"> is the driving force behind </w:t>
      </w:r>
      <w:r w:rsidR="00115374">
        <w:t xml:space="preserve">the </w:t>
      </w:r>
      <w:r w:rsidR="00581887">
        <w:t>establishment of regulations like Dublin III in the first place.</w:t>
      </w:r>
      <w:r w:rsidR="00581887">
        <w:rPr>
          <w:rStyle w:val="EndnoteReference"/>
        </w:rPr>
        <w:endnoteReference w:id="57"/>
      </w:r>
      <w:r w:rsidR="00581887">
        <w:t xml:space="preserve"> After all, </w:t>
      </w:r>
      <w:r w:rsidR="001921EE">
        <w:t xml:space="preserve">as an organization comprised of </w:t>
      </w:r>
      <w:r w:rsidR="0041549B">
        <w:t>various</w:t>
      </w:r>
      <w:r w:rsidR="001921EE">
        <w:t xml:space="preserve"> nations, the </w:t>
      </w:r>
      <w:r w:rsidR="000B66F8">
        <w:t>EU</w:t>
      </w:r>
      <w:r w:rsidR="001921EE">
        <w:t xml:space="preserve"> is uniquely positioned to effect international policy </w:t>
      </w:r>
      <w:r w:rsidR="00BE47B8">
        <w:t xml:space="preserve">and prevent potential human rights violations. </w:t>
      </w:r>
    </w:p>
    <w:p w14:paraId="3E759A58" w14:textId="698B946A" w:rsidR="00BE47B8" w:rsidRDefault="00BE47B8" w:rsidP="008F73FC">
      <w:pPr>
        <w:spacing w:after="0" w:line="480" w:lineRule="auto"/>
      </w:pPr>
      <w:r>
        <w:tab/>
        <w:t xml:space="preserve">Although the German government’s willingness to challenge </w:t>
      </w:r>
      <w:r w:rsidR="00215BFC">
        <w:t>EU law so blatantly, and their indications that they do not plan to stop soon,</w:t>
      </w:r>
      <w:r w:rsidR="00215BFC">
        <w:rPr>
          <w:rStyle w:val="EndnoteReference"/>
        </w:rPr>
        <w:endnoteReference w:id="58"/>
      </w:r>
      <w:r w:rsidR="00215BFC">
        <w:t xml:space="preserve"> are certainly alarming, </w:t>
      </w:r>
      <w:r w:rsidR="00491AC8">
        <w:t xml:space="preserve">the court’s response is a promising sign of the role the </w:t>
      </w:r>
      <w:r w:rsidR="00941190">
        <w:t>EU</w:t>
      </w:r>
      <w:r w:rsidR="00491AC8">
        <w:t xml:space="preserve"> will play in upcoming conflicts. </w:t>
      </w:r>
      <w:r w:rsidR="006205B9">
        <w:t xml:space="preserve">As interest in </w:t>
      </w:r>
      <w:r w:rsidR="00256A36">
        <w:t xml:space="preserve">turning against immigration and asylum seekers </w:t>
      </w:r>
      <w:r w:rsidR="00F25335">
        <w:t>surges</w:t>
      </w:r>
      <w:r w:rsidR="00256A36">
        <w:t xml:space="preserve">, the </w:t>
      </w:r>
      <w:r w:rsidR="00766A63">
        <w:t>EU</w:t>
      </w:r>
      <w:r w:rsidR="00256A36">
        <w:t xml:space="preserve">’s role as a unifying force only </w:t>
      </w:r>
      <w:r w:rsidR="008D7AB7">
        <w:t xml:space="preserve">increases in importance, and the Berlin Administrative Court’s ruling is proof that their regulations have the power to do just that. </w:t>
      </w:r>
      <w:r w:rsidR="00DB3C4D">
        <w:t xml:space="preserve">Regulations </w:t>
      </w:r>
      <w:r w:rsidR="007759C2">
        <w:t xml:space="preserve">such as Dublin III are only effective if every Member State </w:t>
      </w:r>
      <w:r w:rsidR="00FA0780">
        <w:t>complies</w:t>
      </w:r>
      <w:r w:rsidR="007759C2">
        <w:t xml:space="preserve">, and </w:t>
      </w:r>
      <w:r w:rsidR="006F7542">
        <w:t xml:space="preserve">this recent ruling is proof that the </w:t>
      </w:r>
      <w:r w:rsidR="00BF27C9">
        <w:t>EU</w:t>
      </w:r>
      <w:r w:rsidR="006F7542">
        <w:t xml:space="preserve"> is willing </w:t>
      </w:r>
      <w:r w:rsidR="00FA0780">
        <w:t xml:space="preserve">to staunchly hold Member States accountable for their international vows. </w:t>
      </w:r>
      <w:r w:rsidR="00D92512">
        <w:t>This</w:t>
      </w:r>
      <w:r w:rsidR="00EF5D95">
        <w:t xml:space="preserve"> can only have a positive impact on human rights internationally, particularly as we enter what is likely to be a new era of international attitudes towards immigration.</w:t>
      </w:r>
      <w:r w:rsidR="00001BEF">
        <w:t xml:space="preserve"> The </w:t>
      </w:r>
      <w:r w:rsidR="00766A63">
        <w:t>EU</w:t>
      </w:r>
      <w:r w:rsidR="00001BEF">
        <w:t xml:space="preserve"> should take note of this recent conflict and prepare to </w:t>
      </w:r>
      <w:r w:rsidR="000E62BE">
        <w:t>continually stand behind its regulations, holding Member States to the</w:t>
      </w:r>
      <w:r w:rsidR="00BF27C9">
        <w:t>ir</w:t>
      </w:r>
      <w:r w:rsidR="000E62BE">
        <w:t xml:space="preserve"> previous agreements and </w:t>
      </w:r>
      <w:r w:rsidR="0052496D">
        <w:t xml:space="preserve">ensuring what stability they can across Europe. </w:t>
      </w:r>
    </w:p>
    <w:p w14:paraId="5587C643" w14:textId="77777777" w:rsidR="00256500" w:rsidRDefault="00256500" w:rsidP="008F73FC">
      <w:pPr>
        <w:spacing w:after="0" w:line="480" w:lineRule="auto"/>
      </w:pPr>
    </w:p>
    <w:p w14:paraId="7A6ED911" w14:textId="77777777" w:rsidR="00256500" w:rsidRPr="00941F7C" w:rsidRDefault="00256500" w:rsidP="008F73FC">
      <w:pPr>
        <w:spacing w:after="0" w:line="480" w:lineRule="auto"/>
      </w:pPr>
    </w:p>
    <w:sectPr w:rsidR="00256500" w:rsidRPr="00941F7C" w:rsidSect="0017217A">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ECB4" w14:textId="77777777" w:rsidR="00A919D6" w:rsidRDefault="00A919D6" w:rsidP="00E250E3">
      <w:pPr>
        <w:spacing w:after="0" w:line="240" w:lineRule="auto"/>
      </w:pPr>
      <w:r>
        <w:separator/>
      </w:r>
    </w:p>
  </w:endnote>
  <w:endnote w:type="continuationSeparator" w:id="0">
    <w:p w14:paraId="54AFDD57" w14:textId="77777777" w:rsidR="00A919D6" w:rsidRDefault="00A919D6" w:rsidP="00E250E3">
      <w:pPr>
        <w:spacing w:after="0" w:line="240" w:lineRule="auto"/>
      </w:pPr>
      <w:r>
        <w:continuationSeparator/>
      </w:r>
    </w:p>
  </w:endnote>
  <w:endnote w:id="1">
    <w:p w14:paraId="018EEC9D" w14:textId="5C345EB6" w:rsidR="0015005B" w:rsidRDefault="0015005B">
      <w:pPr>
        <w:pStyle w:val="EndnoteText"/>
      </w:pPr>
      <w:r>
        <w:rPr>
          <w:rStyle w:val="EndnoteReference"/>
        </w:rPr>
        <w:endnoteRef/>
      </w:r>
      <w:r>
        <w:t xml:space="preserve"> </w:t>
      </w:r>
      <w:r w:rsidR="00F3432F" w:rsidRPr="004F253A">
        <w:rPr>
          <w:i/>
          <w:iCs/>
        </w:rPr>
        <w:t>See</w:t>
      </w:r>
      <w:r w:rsidR="00F3432F">
        <w:t xml:space="preserve"> Juri</w:t>
      </w:r>
      <w:r w:rsidR="00D738D1">
        <w:t xml:space="preserve"> Berger</w:t>
      </w:r>
      <w:r w:rsidR="00F3432F">
        <w:t xml:space="preserve">, </w:t>
      </w:r>
      <w:r w:rsidR="00F3432F">
        <w:rPr>
          <w:i/>
          <w:iCs/>
        </w:rPr>
        <w:t>Germany Court Rules Turning Away Asylum Seekers at Border is Illegal</w:t>
      </w:r>
      <w:r w:rsidR="00F3432F">
        <w:t xml:space="preserve">, </w:t>
      </w:r>
      <w:r w:rsidR="00F3432F">
        <w:rPr>
          <w:smallCaps/>
        </w:rPr>
        <w:t>Jurist Legal News</w:t>
      </w:r>
      <w:r w:rsidR="00F3432F">
        <w:t xml:space="preserve"> (June 3, 2025, 1:57 PM), </w:t>
      </w:r>
      <w:r w:rsidR="00F3432F" w:rsidRPr="003B0E47">
        <w:t>https://www.jurist.org/news/2025/06/german-court-rules-turning-asylum-seekers-at-border-is-illegal/</w:t>
      </w:r>
      <w:r w:rsidR="00F3432F">
        <w:t xml:space="preserve">, </w:t>
      </w:r>
      <w:r w:rsidR="00D738D1" w:rsidRPr="00A02279">
        <w:t>John</w:t>
      </w:r>
      <w:r w:rsidR="00D738D1">
        <w:t xml:space="preserve"> Henley</w:t>
      </w:r>
      <w:r w:rsidR="00D738D1" w:rsidRPr="00A02279">
        <w:t xml:space="preserve">, </w:t>
      </w:r>
      <w:r w:rsidR="00D738D1" w:rsidRPr="00A02279">
        <w:rPr>
          <w:i/>
          <w:iCs/>
        </w:rPr>
        <w:t>Anti-Immigration Mood Sweeping EU Threatens Its New Asylum Strategy</w:t>
      </w:r>
      <w:r w:rsidR="00D738D1" w:rsidRPr="00A02279">
        <w:t xml:space="preserve">, </w:t>
      </w:r>
      <w:r w:rsidR="00D738D1" w:rsidRPr="00A02279">
        <w:rPr>
          <w:smallCaps/>
        </w:rPr>
        <w:t>The Guardian</w:t>
      </w:r>
      <w:r w:rsidR="00D738D1" w:rsidRPr="00A02279">
        <w:t xml:space="preserve"> (September 27, 2024), https://www.theguardian.com/world/2024/sep/27/anti-immigration-mood-sweeping-eu-capitals-puts-strain-on-blocs-unity#:~:text=The%20move%20has%20been%20widely%20denounced%20as,by%20the%20far%2Dright%20Alternative%20f%C3%BCr%20Deutschland%20(AfD).</w:t>
      </w:r>
    </w:p>
  </w:endnote>
  <w:endnote w:id="2">
    <w:p w14:paraId="6A464217" w14:textId="00557F24" w:rsidR="00962EC5" w:rsidRDefault="00962EC5">
      <w:pPr>
        <w:pStyle w:val="EndnoteText"/>
      </w:pPr>
      <w:r>
        <w:rPr>
          <w:rStyle w:val="EndnoteReference"/>
        </w:rPr>
        <w:endnoteRef/>
      </w:r>
      <w:r>
        <w:t xml:space="preserve"> </w:t>
      </w:r>
      <w:r w:rsidR="006A2DF9" w:rsidRPr="004F253A">
        <w:rPr>
          <w:i/>
          <w:iCs/>
        </w:rPr>
        <w:t>See</w:t>
      </w:r>
      <w:r w:rsidR="006A2DF9">
        <w:t xml:space="preserve"> </w:t>
      </w:r>
      <w:r w:rsidR="006A2DF9" w:rsidRPr="004F253A">
        <w:t>Berger</w:t>
      </w:r>
      <w:r w:rsidR="006A2DF9">
        <w:t xml:space="preserve">, </w:t>
      </w:r>
      <w:r w:rsidR="006A2DF9">
        <w:rPr>
          <w:i/>
          <w:iCs/>
        </w:rPr>
        <w:t>supra</w:t>
      </w:r>
      <w:r w:rsidR="006A2DF9">
        <w:t xml:space="preserve"> note 1.</w:t>
      </w:r>
    </w:p>
  </w:endnote>
  <w:endnote w:id="3">
    <w:p w14:paraId="1569020C" w14:textId="734A3D33" w:rsidR="002A4A52" w:rsidRDefault="002A4A52">
      <w:pPr>
        <w:pStyle w:val="EndnoteText"/>
      </w:pPr>
      <w:r>
        <w:rPr>
          <w:rStyle w:val="EndnoteReference"/>
        </w:rPr>
        <w:endnoteRef/>
      </w:r>
      <w:r>
        <w:t xml:space="preserve"> </w:t>
      </w:r>
      <w:r w:rsidR="00194327" w:rsidRPr="00E77904">
        <w:rPr>
          <w:i/>
          <w:iCs/>
        </w:rPr>
        <w:t>See</w:t>
      </w:r>
      <w:r w:rsidR="00194327" w:rsidRPr="00E77904">
        <w:t xml:space="preserve"> Regulation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(recast), 2013 O.J. (L 180) (EU), 180/31.</w:t>
      </w:r>
    </w:p>
  </w:endnote>
  <w:endnote w:id="4">
    <w:p w14:paraId="5439B442" w14:textId="4675A37C" w:rsidR="006C192E" w:rsidRDefault="006C192E">
      <w:pPr>
        <w:pStyle w:val="EndnoteText"/>
      </w:pPr>
      <w:r>
        <w:rPr>
          <w:rStyle w:val="EndnoteReference"/>
        </w:rPr>
        <w:endnoteRef/>
      </w:r>
      <w:r>
        <w:t xml:space="preserve"> </w:t>
      </w:r>
      <w:r w:rsidR="00B456A9">
        <w:t xml:space="preserve">Jenny </w:t>
      </w:r>
      <w:proofErr w:type="spellStart"/>
      <w:r w:rsidR="00B456A9">
        <w:t>Gesley</w:t>
      </w:r>
      <w:proofErr w:type="spellEnd"/>
      <w:r w:rsidR="00B456A9">
        <w:t xml:space="preserve">, </w:t>
      </w:r>
      <w:r w:rsidR="00B456A9" w:rsidRPr="000E3D45">
        <w:rPr>
          <w:i/>
          <w:iCs/>
        </w:rPr>
        <w:t>Germany: Court Holds that Asylum Seekers May Not Be Immediately Turned Away at Border</w:t>
      </w:r>
      <w:r w:rsidR="00B456A9">
        <w:t xml:space="preserve">, Law Library of Congress (June 30, 2025), </w:t>
      </w:r>
      <w:r w:rsidR="00B456A9" w:rsidRPr="00CA59DB">
        <w:t>https://www.loc.gov/item/global-legal-monitor/2025-06-30/germany-court-holds-that-asylum-seekers-may-not-be-immediately-turned-away-at-border/</w:t>
      </w:r>
      <w:r w:rsidR="00B456A9">
        <w:t>.</w:t>
      </w:r>
    </w:p>
  </w:endnote>
  <w:endnote w:id="5">
    <w:p w14:paraId="39915A57" w14:textId="6E249497" w:rsidR="002F5273" w:rsidRPr="00076A80" w:rsidRDefault="002F5273">
      <w:pPr>
        <w:pStyle w:val="EndnoteText"/>
      </w:pPr>
      <w:r>
        <w:rPr>
          <w:rStyle w:val="EndnoteReference"/>
        </w:rPr>
        <w:endnoteRef/>
      </w:r>
      <w:r>
        <w:t xml:space="preserve"> </w:t>
      </w:r>
      <w:r w:rsidR="00076A80">
        <w:rPr>
          <w:i/>
          <w:iCs/>
        </w:rPr>
        <w:t>Id</w:t>
      </w:r>
      <w:r w:rsidR="00076A80">
        <w:t>.</w:t>
      </w:r>
    </w:p>
  </w:endnote>
  <w:endnote w:id="6">
    <w:p w14:paraId="5A703C40" w14:textId="20CE6E43" w:rsidR="0098153F" w:rsidRPr="00D738D1" w:rsidRDefault="0098153F">
      <w:pPr>
        <w:pStyle w:val="EndnoteText"/>
      </w:pPr>
      <w:r>
        <w:rPr>
          <w:rStyle w:val="EndnoteReference"/>
        </w:rPr>
        <w:endnoteRef/>
      </w:r>
      <w:r>
        <w:t xml:space="preserve"> </w:t>
      </w:r>
      <w:r w:rsidR="004F253A" w:rsidRPr="004F253A">
        <w:rPr>
          <w:i/>
          <w:iCs/>
        </w:rPr>
        <w:t>See</w:t>
      </w:r>
      <w:r w:rsidR="004F253A">
        <w:t xml:space="preserve"> </w:t>
      </w:r>
      <w:r w:rsidRPr="004F253A">
        <w:t>Berger</w:t>
      </w:r>
      <w:r>
        <w:t xml:space="preserve">, </w:t>
      </w:r>
      <w:r w:rsidR="00D738D1">
        <w:rPr>
          <w:i/>
          <w:iCs/>
        </w:rPr>
        <w:t>supra</w:t>
      </w:r>
      <w:r w:rsidR="00D738D1">
        <w:t xml:space="preserve"> note 1. </w:t>
      </w:r>
    </w:p>
  </w:endnote>
  <w:endnote w:id="7">
    <w:p w14:paraId="261E8840" w14:textId="0F671D12" w:rsidR="00497397" w:rsidRPr="00D738D1" w:rsidRDefault="00497397">
      <w:pPr>
        <w:pStyle w:val="EndnoteText"/>
      </w:pPr>
      <w:r>
        <w:rPr>
          <w:rStyle w:val="EndnoteReference"/>
        </w:rPr>
        <w:endnoteRef/>
      </w:r>
      <w:r>
        <w:t xml:space="preserve"> Henley, </w:t>
      </w:r>
      <w:r w:rsidR="00D738D1">
        <w:rPr>
          <w:i/>
          <w:iCs/>
        </w:rPr>
        <w:t>supra</w:t>
      </w:r>
      <w:r w:rsidR="00D738D1">
        <w:t xml:space="preserve"> note 1. </w:t>
      </w:r>
    </w:p>
  </w:endnote>
  <w:endnote w:id="8">
    <w:p w14:paraId="79D2A5B8" w14:textId="6B912D51" w:rsidR="00D96994" w:rsidRPr="00D96994" w:rsidRDefault="00D96994">
      <w:pPr>
        <w:pStyle w:val="EndnoteText"/>
      </w:pPr>
      <w:r>
        <w:rPr>
          <w:rStyle w:val="EndnoteReference"/>
        </w:rPr>
        <w:endnoteRef/>
      </w:r>
      <w:r>
        <w:t xml:space="preserve"> </w:t>
      </w:r>
      <w:r>
        <w:rPr>
          <w:i/>
          <w:iCs/>
        </w:rPr>
        <w:t>Id</w:t>
      </w:r>
      <w:r>
        <w:t>.</w:t>
      </w:r>
    </w:p>
  </w:endnote>
  <w:endnote w:id="9">
    <w:p w14:paraId="5B4A4975" w14:textId="08716384" w:rsidR="00B267F2" w:rsidRPr="000646A4" w:rsidRDefault="00B267F2">
      <w:pPr>
        <w:pStyle w:val="EndnoteText"/>
      </w:pPr>
      <w:r>
        <w:rPr>
          <w:rStyle w:val="EndnoteReference"/>
        </w:rPr>
        <w:endnoteRef/>
      </w:r>
      <w:r>
        <w:t xml:space="preserve"> </w:t>
      </w:r>
      <w:r w:rsidR="00D738D1">
        <w:t xml:space="preserve">Darina </w:t>
      </w:r>
      <w:proofErr w:type="spellStart"/>
      <w:r w:rsidR="000646A4" w:rsidRPr="00B97DF0">
        <w:t>Boykova</w:t>
      </w:r>
      <w:proofErr w:type="spellEnd"/>
      <w:r w:rsidR="000646A4" w:rsidRPr="00B97DF0">
        <w:t xml:space="preserve">, </w:t>
      </w:r>
      <w:r w:rsidR="002A03EF" w:rsidRPr="00FD41C1">
        <w:rPr>
          <w:i/>
          <w:iCs/>
        </w:rPr>
        <w:t>Poland Suspends Asylum for Belarus Migrants</w:t>
      </w:r>
      <w:r w:rsidR="000646A4">
        <w:t xml:space="preserve">, </w:t>
      </w:r>
      <w:r w:rsidR="000646A4">
        <w:rPr>
          <w:smallCaps/>
        </w:rPr>
        <w:t>Jurist Legal News</w:t>
      </w:r>
      <w:r w:rsidR="000646A4">
        <w:t xml:space="preserve"> (M</w:t>
      </w:r>
      <w:r w:rsidR="002A03EF">
        <w:t>arch 27</w:t>
      </w:r>
      <w:r w:rsidR="000646A4">
        <w:t>, 2025, 1</w:t>
      </w:r>
      <w:r w:rsidR="002A03EF">
        <w:t>0:05 AM</w:t>
      </w:r>
      <w:r w:rsidR="000646A4">
        <w:t xml:space="preserve">), </w:t>
      </w:r>
      <w:r w:rsidR="002A03EF" w:rsidRPr="002A03EF">
        <w:t>https://www.jurist.org/news/2025/03/poland-suspends-asylum-for-belarus-migrants/</w:t>
      </w:r>
      <w:r w:rsidR="002A03EF">
        <w:t>.</w:t>
      </w:r>
    </w:p>
  </w:endnote>
  <w:endnote w:id="10">
    <w:p w14:paraId="7DEEB73E" w14:textId="4637C583" w:rsidR="00D66926" w:rsidRPr="00B038CD" w:rsidRDefault="00D66926">
      <w:pPr>
        <w:pStyle w:val="EndnoteText"/>
      </w:pPr>
      <w:r>
        <w:rPr>
          <w:rStyle w:val="EndnoteReference"/>
        </w:rPr>
        <w:endnoteRef/>
      </w:r>
      <w:r>
        <w:t xml:space="preserve"> </w:t>
      </w:r>
      <w:r w:rsidR="00AA236F">
        <w:t xml:space="preserve">De Ruiter, Emma, </w:t>
      </w:r>
      <w:r w:rsidR="00AA236F" w:rsidRPr="00FD41C1">
        <w:rPr>
          <w:i/>
          <w:iCs/>
        </w:rPr>
        <w:t>Polish Parliament Votes to Extend Asylum Suspension at Belarus Border</w:t>
      </w:r>
      <w:r w:rsidR="00AA236F">
        <w:t xml:space="preserve">, </w:t>
      </w:r>
      <w:r w:rsidR="00B038CD">
        <w:rPr>
          <w:smallCaps/>
        </w:rPr>
        <w:t>Euronews</w:t>
      </w:r>
      <w:r w:rsidR="00B038CD">
        <w:t xml:space="preserve"> (May </w:t>
      </w:r>
      <w:r w:rsidR="0076218B">
        <w:t xml:space="preserve">21, 2025, </w:t>
      </w:r>
      <w:r w:rsidR="00B64174">
        <w:t>4:03</w:t>
      </w:r>
      <w:r w:rsidR="004F253A">
        <w:t xml:space="preserve"> PM), </w:t>
      </w:r>
      <w:r w:rsidR="004F253A" w:rsidRPr="004F253A">
        <w:t>https://www.euronews.com/my-europe/2025/05/21/polish-parliament-votes-to-extend-asylum-suspension</w:t>
      </w:r>
      <w:r w:rsidR="004F253A">
        <w:t>.</w:t>
      </w:r>
    </w:p>
  </w:endnote>
  <w:endnote w:id="11">
    <w:p w14:paraId="4AA42905" w14:textId="23D9428C" w:rsidR="00CD7961" w:rsidRDefault="00CD7961">
      <w:pPr>
        <w:pStyle w:val="EndnoteText"/>
      </w:pPr>
      <w:r>
        <w:rPr>
          <w:rStyle w:val="EndnoteReference"/>
        </w:rPr>
        <w:endnoteRef/>
      </w:r>
      <w:r>
        <w:t xml:space="preserve"> </w:t>
      </w:r>
      <w:proofErr w:type="spellStart"/>
      <w:r w:rsidR="00331656" w:rsidRPr="00B97DF0">
        <w:t>Boykova</w:t>
      </w:r>
      <w:proofErr w:type="spellEnd"/>
      <w:r w:rsidR="00331656" w:rsidRPr="00B97DF0">
        <w:t>,</w:t>
      </w:r>
      <w:r w:rsidR="00331656">
        <w:t xml:space="preserve"> </w:t>
      </w:r>
      <w:r w:rsidR="00331656" w:rsidRPr="00943E0D">
        <w:rPr>
          <w:i/>
          <w:iCs/>
        </w:rPr>
        <w:t>supra</w:t>
      </w:r>
      <w:r w:rsidR="00331656">
        <w:t xml:space="preserve"> note 4.</w:t>
      </w:r>
    </w:p>
  </w:endnote>
  <w:endnote w:id="12">
    <w:p w14:paraId="20A6BFF3" w14:textId="0BB0394C" w:rsidR="00B97DF0" w:rsidRPr="00DE24DA" w:rsidRDefault="00B97DF0">
      <w:pPr>
        <w:pStyle w:val="EndnoteText"/>
      </w:pPr>
      <w:r>
        <w:rPr>
          <w:rStyle w:val="EndnoteReference"/>
        </w:rPr>
        <w:endnoteRef/>
      </w:r>
      <w:r w:rsidRPr="00B97DF0">
        <w:t xml:space="preserve"> Darina</w:t>
      </w:r>
      <w:r w:rsidR="00D738D1">
        <w:t xml:space="preserve"> </w:t>
      </w:r>
      <w:proofErr w:type="spellStart"/>
      <w:r w:rsidR="00D738D1">
        <w:t>Boykova</w:t>
      </w:r>
      <w:proofErr w:type="spellEnd"/>
      <w:r w:rsidRPr="00B97DF0">
        <w:t xml:space="preserve">, </w:t>
      </w:r>
      <w:r w:rsidRPr="00FD41C1">
        <w:rPr>
          <w:i/>
          <w:iCs/>
        </w:rPr>
        <w:t>Amnesty: Poland’s Suspension of Asylum Claims a Serious Threat to Human Rights and Lives</w:t>
      </w:r>
      <w:r w:rsidR="00DE24DA">
        <w:t xml:space="preserve">, </w:t>
      </w:r>
      <w:r w:rsidR="00DE24DA">
        <w:rPr>
          <w:smallCaps/>
        </w:rPr>
        <w:t>Jurist Legal News</w:t>
      </w:r>
      <w:r w:rsidR="00DE24DA">
        <w:t xml:space="preserve"> (May 4, 2025, 12:13 PM), </w:t>
      </w:r>
      <w:r w:rsidR="000646A4" w:rsidRPr="000646A4">
        <w:t>https://www.jurist.org/news/2025/05/amnesty-polands-suspension-of-asylum-claims-a-serious-threat-to-human-rights-and-lives/</w:t>
      </w:r>
      <w:r w:rsidR="000646A4">
        <w:t>.</w:t>
      </w:r>
    </w:p>
  </w:endnote>
  <w:endnote w:id="13">
    <w:p w14:paraId="4C68398F" w14:textId="5EF67CBE" w:rsidR="00FD41C1" w:rsidRPr="00FD41C1" w:rsidRDefault="00FD41C1">
      <w:pPr>
        <w:pStyle w:val="EndnoteText"/>
      </w:pPr>
      <w:r>
        <w:rPr>
          <w:rStyle w:val="EndnoteReference"/>
        </w:rPr>
        <w:endnoteRef/>
      </w:r>
      <w:r>
        <w:t xml:space="preserve"> </w:t>
      </w:r>
      <w:r w:rsidR="002E4DA7">
        <w:t xml:space="preserve">Angelique </w:t>
      </w:r>
      <w:proofErr w:type="spellStart"/>
      <w:r>
        <w:t>Chrisafis</w:t>
      </w:r>
      <w:proofErr w:type="spellEnd"/>
      <w:r>
        <w:t xml:space="preserve">, </w:t>
      </w:r>
      <w:r w:rsidRPr="00FD41C1">
        <w:rPr>
          <w:i/>
          <w:iCs/>
        </w:rPr>
        <w:t>French Interior Minister Vows to ‘Restore Order’ As Critics Warn of Shift to Right</w:t>
      </w:r>
      <w:r>
        <w:t xml:space="preserve">, </w:t>
      </w:r>
      <w:r>
        <w:rPr>
          <w:smallCaps/>
        </w:rPr>
        <w:t>The Guardian</w:t>
      </w:r>
      <w:r>
        <w:t xml:space="preserve"> (September 23, 2024, 1:48 PM), </w:t>
      </w:r>
      <w:r w:rsidRPr="00FD41C1">
        <w:t>https://www.theguardian.com/world/2024/sep/23/new-french-interior-minister-bruno-retailleau-right</w:t>
      </w:r>
      <w:r>
        <w:t>.</w:t>
      </w:r>
    </w:p>
  </w:endnote>
  <w:endnote w:id="14">
    <w:p w14:paraId="68A74FE2" w14:textId="4B016FE6" w:rsidR="00100F18" w:rsidRPr="009E0280" w:rsidRDefault="00100F18">
      <w:pPr>
        <w:pStyle w:val="EndnoteText"/>
      </w:pPr>
      <w:r>
        <w:rPr>
          <w:rStyle w:val="EndnoteReference"/>
        </w:rPr>
        <w:endnoteRef/>
      </w:r>
      <w:r>
        <w:t xml:space="preserve"> </w:t>
      </w:r>
      <w:r w:rsidR="00F26FF9">
        <w:rPr>
          <w:i/>
          <w:iCs/>
        </w:rPr>
        <w:t xml:space="preserve">The French Immigration Bill </w:t>
      </w:r>
      <w:proofErr w:type="gramStart"/>
      <w:r w:rsidR="003F1D0D">
        <w:rPr>
          <w:i/>
          <w:iCs/>
        </w:rPr>
        <w:t>a</w:t>
      </w:r>
      <w:r w:rsidR="00F26FF9">
        <w:rPr>
          <w:i/>
          <w:iCs/>
        </w:rPr>
        <w:t>t a Glance</w:t>
      </w:r>
      <w:proofErr w:type="gramEnd"/>
      <w:r w:rsidR="00F26FF9">
        <w:t xml:space="preserve">, </w:t>
      </w:r>
      <w:r w:rsidR="009E0280">
        <w:rPr>
          <w:smallCaps/>
        </w:rPr>
        <w:t>French American Chamber of Commerce</w:t>
      </w:r>
      <w:r w:rsidR="009E0280">
        <w:t xml:space="preserve"> (July 17, 2024) </w:t>
      </w:r>
      <w:r w:rsidR="009E0280" w:rsidRPr="009E0280">
        <w:t>https://faccnyc.org/the-french-immigration-bill-at-a-glance/</w:t>
      </w:r>
      <w:r w:rsidR="009E0280">
        <w:t>.</w:t>
      </w:r>
    </w:p>
  </w:endnote>
  <w:endnote w:id="15">
    <w:p w14:paraId="107320CC" w14:textId="3B244355" w:rsidR="004E2DAC" w:rsidRPr="009E0280" w:rsidRDefault="004E2DAC">
      <w:pPr>
        <w:pStyle w:val="EndnoteText"/>
      </w:pPr>
      <w:r>
        <w:rPr>
          <w:rStyle w:val="EndnoteReference"/>
        </w:rPr>
        <w:endnoteRef/>
      </w:r>
      <w:r>
        <w:t xml:space="preserve"> </w:t>
      </w:r>
      <w:r w:rsidR="009E0280">
        <w:rPr>
          <w:i/>
          <w:iCs/>
        </w:rPr>
        <w:t>Id</w:t>
      </w:r>
      <w:r w:rsidR="009E0280">
        <w:t xml:space="preserve">. </w:t>
      </w:r>
    </w:p>
  </w:endnote>
  <w:endnote w:id="16">
    <w:p w14:paraId="6CE48C7A" w14:textId="2490C386" w:rsidR="00EA2AE4" w:rsidRPr="00F26FF9" w:rsidRDefault="00EA2AE4">
      <w:pPr>
        <w:pStyle w:val="EndnoteText"/>
      </w:pPr>
      <w:r>
        <w:rPr>
          <w:rStyle w:val="EndnoteReference"/>
        </w:rPr>
        <w:endnoteRef/>
      </w:r>
      <w:r>
        <w:t xml:space="preserve"> </w:t>
      </w:r>
      <w:r w:rsidR="000C7A54">
        <w:t xml:space="preserve">Directorate for Legal and Administrative Information (Prime Minister), </w:t>
      </w:r>
      <w:r w:rsidR="000C7A54">
        <w:rPr>
          <w:i/>
          <w:iCs/>
        </w:rPr>
        <w:t xml:space="preserve">Immigration Act: Several Provisions Come </w:t>
      </w:r>
      <w:r w:rsidR="0073734A">
        <w:rPr>
          <w:i/>
          <w:iCs/>
        </w:rPr>
        <w:t>into</w:t>
      </w:r>
      <w:r w:rsidR="000C7A54">
        <w:rPr>
          <w:i/>
          <w:iCs/>
        </w:rPr>
        <w:t xml:space="preserve"> Force</w:t>
      </w:r>
      <w:r w:rsidR="000C7A54">
        <w:t xml:space="preserve">, </w:t>
      </w:r>
      <w:r w:rsidR="000C7A54">
        <w:rPr>
          <w:smallCaps/>
        </w:rPr>
        <w:t>République Française</w:t>
      </w:r>
      <w:r w:rsidR="00F26FF9">
        <w:t xml:space="preserve"> (July 18, 2024), </w:t>
      </w:r>
      <w:r w:rsidR="00F26FF9" w:rsidRPr="00F26FF9">
        <w:t>https://www.service-public.fr/particuliers/actualites/A17534?lang=en</w:t>
      </w:r>
      <w:r w:rsidR="00F26FF9">
        <w:t>.</w:t>
      </w:r>
    </w:p>
  </w:endnote>
  <w:endnote w:id="17">
    <w:p w14:paraId="764A3D59" w14:textId="58D42B81" w:rsidR="00B0006F" w:rsidRPr="00B97847" w:rsidRDefault="00B0006F">
      <w:pPr>
        <w:pStyle w:val="EndnoteText"/>
      </w:pPr>
      <w:r>
        <w:rPr>
          <w:rStyle w:val="EndnoteReference"/>
        </w:rPr>
        <w:endnoteRef/>
      </w:r>
      <w:r>
        <w:t xml:space="preserve"> </w:t>
      </w:r>
      <w:r w:rsidR="002E4DA7">
        <w:t xml:space="preserve">Richard </w:t>
      </w:r>
      <w:r w:rsidR="00DE5CE1">
        <w:t>Connor</w:t>
      </w:r>
      <w:r w:rsidR="00D31CA9">
        <w:t xml:space="preserve">, </w:t>
      </w:r>
      <w:r w:rsidR="00D31CA9">
        <w:rPr>
          <w:i/>
          <w:iCs/>
        </w:rPr>
        <w:t>German Court Rules Turning Away Asylum Seekers Unlawful</w:t>
      </w:r>
      <w:r w:rsidR="00D31CA9">
        <w:t xml:space="preserve">, </w:t>
      </w:r>
      <w:r w:rsidR="00B97847" w:rsidRPr="00B97847">
        <w:rPr>
          <w:smallCaps/>
        </w:rPr>
        <w:t>DW</w:t>
      </w:r>
      <w:r w:rsidR="00B97847">
        <w:t xml:space="preserve"> (June 2, 2025), </w:t>
      </w:r>
      <w:r w:rsidR="00B97847" w:rsidRPr="00B97847">
        <w:t>https://www.dw.com/en/german-court-rules-turning-away-asylum-seekers-unlawful/a-72763293</w:t>
      </w:r>
      <w:r w:rsidR="00B97847">
        <w:t>.</w:t>
      </w:r>
    </w:p>
  </w:endnote>
  <w:endnote w:id="18">
    <w:p w14:paraId="5EE008AF" w14:textId="755E8E6A" w:rsidR="00176FBF" w:rsidRPr="0073734A" w:rsidRDefault="00176FBF">
      <w:pPr>
        <w:pStyle w:val="EndnoteText"/>
      </w:pPr>
      <w:r>
        <w:rPr>
          <w:rStyle w:val="EndnoteReference"/>
        </w:rPr>
        <w:endnoteRef/>
      </w:r>
      <w:r>
        <w:t xml:space="preserve"> </w:t>
      </w:r>
      <w:r w:rsidR="0073734A">
        <w:rPr>
          <w:i/>
          <w:iCs/>
        </w:rPr>
        <w:t>Id</w:t>
      </w:r>
      <w:r w:rsidR="0073734A">
        <w:t>.</w:t>
      </w:r>
    </w:p>
  </w:endnote>
  <w:endnote w:id="19">
    <w:p w14:paraId="79D1D91B" w14:textId="6F39E588" w:rsidR="00492BC0" w:rsidRPr="00B456A9" w:rsidRDefault="00492BC0">
      <w:pPr>
        <w:pStyle w:val="EndnoteText"/>
      </w:pPr>
      <w:r>
        <w:rPr>
          <w:rStyle w:val="EndnoteReference"/>
        </w:rPr>
        <w:endnoteRef/>
      </w:r>
      <w:r>
        <w:t xml:space="preserve"> </w:t>
      </w:r>
      <w:proofErr w:type="spellStart"/>
      <w:r w:rsidR="0073734A">
        <w:t>Gesley</w:t>
      </w:r>
      <w:proofErr w:type="spellEnd"/>
      <w:r w:rsidR="0073734A">
        <w:t xml:space="preserve">, </w:t>
      </w:r>
      <w:r w:rsidR="00B456A9">
        <w:rPr>
          <w:i/>
          <w:iCs/>
        </w:rPr>
        <w:t>supra</w:t>
      </w:r>
      <w:r w:rsidR="00B456A9">
        <w:t xml:space="preserve"> note 4. </w:t>
      </w:r>
    </w:p>
  </w:endnote>
  <w:endnote w:id="20">
    <w:p w14:paraId="601CBCB5" w14:textId="16862D1B" w:rsidR="00256D1E" w:rsidRPr="00256D1E" w:rsidRDefault="00256D1E">
      <w:pPr>
        <w:pStyle w:val="EndnoteText"/>
      </w:pPr>
      <w:r>
        <w:rPr>
          <w:rStyle w:val="EndnoteReference"/>
        </w:rPr>
        <w:endnoteRef/>
      </w:r>
      <w:r>
        <w:t xml:space="preserve"> </w:t>
      </w:r>
      <w:r>
        <w:rPr>
          <w:i/>
          <w:iCs/>
        </w:rPr>
        <w:t>Id</w:t>
      </w:r>
      <w:r>
        <w:t>.</w:t>
      </w:r>
    </w:p>
  </w:endnote>
  <w:endnote w:id="21">
    <w:p w14:paraId="466A5EF3" w14:textId="436BF83E" w:rsidR="00AE65C3" w:rsidRPr="00EE0CEC" w:rsidRDefault="00AE65C3" w:rsidP="00BF1614">
      <w:pPr>
        <w:pStyle w:val="EndnoteText"/>
      </w:pPr>
      <w:r>
        <w:rPr>
          <w:rStyle w:val="EndnoteReference"/>
        </w:rPr>
        <w:endnoteRef/>
      </w:r>
      <w:r>
        <w:t xml:space="preserve"> </w:t>
      </w:r>
      <w:r w:rsidR="00817115" w:rsidRPr="00AE541B">
        <w:rPr>
          <w:i/>
          <w:iCs/>
        </w:rPr>
        <w:t xml:space="preserve">Immigration </w:t>
      </w:r>
      <w:r w:rsidR="00827268" w:rsidRPr="00AE541B">
        <w:rPr>
          <w:i/>
          <w:iCs/>
        </w:rPr>
        <w:t>P</w:t>
      </w:r>
      <w:r w:rsidR="00817115" w:rsidRPr="00AE541B">
        <w:rPr>
          <w:i/>
          <w:iCs/>
        </w:rPr>
        <w:t>olicy</w:t>
      </w:r>
      <w:r w:rsidR="00EE0CEC">
        <w:t>,</w:t>
      </w:r>
      <w:r w:rsidR="00AE541B">
        <w:t xml:space="preserve"> </w:t>
      </w:r>
      <w:r w:rsidR="00786823" w:rsidRPr="00F6621E">
        <w:rPr>
          <w:smallCaps/>
        </w:rPr>
        <w:t>Fact Sheets on the European Union</w:t>
      </w:r>
      <w:r w:rsidR="007852EB">
        <w:t xml:space="preserve"> (last visi</w:t>
      </w:r>
      <w:r w:rsidR="001266FD">
        <w:t>ted September 19, 2025)</w:t>
      </w:r>
      <w:r w:rsidR="002F5A06">
        <w:t>,</w:t>
      </w:r>
      <w:r w:rsidR="001266FD">
        <w:t xml:space="preserve"> </w:t>
      </w:r>
      <w:r w:rsidR="00817115" w:rsidRPr="001266FD">
        <w:t>https://www.europarl.europa.eu/factsheets/en/sheet/152/immigration-policy</w:t>
      </w:r>
      <w:r w:rsidR="00817115">
        <w:t xml:space="preserve">. </w:t>
      </w:r>
    </w:p>
  </w:endnote>
  <w:endnote w:id="22">
    <w:p w14:paraId="2700D598" w14:textId="6769112D" w:rsidR="00EE0CEC" w:rsidRPr="00E7169C" w:rsidRDefault="00EE0CEC">
      <w:pPr>
        <w:pStyle w:val="EndnoteText"/>
      </w:pPr>
      <w:r>
        <w:rPr>
          <w:rStyle w:val="EndnoteReference"/>
        </w:rPr>
        <w:endnoteRef/>
      </w:r>
      <w:r>
        <w:t xml:space="preserve"> </w:t>
      </w:r>
      <w:r w:rsidR="00817115">
        <w:rPr>
          <w:i/>
          <w:iCs/>
        </w:rPr>
        <w:t>See</w:t>
      </w:r>
      <w:r w:rsidR="00817115">
        <w:t xml:space="preserve"> </w:t>
      </w:r>
      <w:r w:rsidR="00E7169C">
        <w:rPr>
          <w:i/>
          <w:iCs/>
        </w:rPr>
        <w:t>id</w:t>
      </w:r>
      <w:r w:rsidR="00E7169C">
        <w:t xml:space="preserve">. </w:t>
      </w:r>
    </w:p>
  </w:endnote>
  <w:endnote w:id="23">
    <w:p w14:paraId="7CBA85B4" w14:textId="61DF0266" w:rsidR="00F529BF" w:rsidRPr="00B137A3" w:rsidRDefault="00F529BF">
      <w:pPr>
        <w:pStyle w:val="EndnoteText"/>
      </w:pPr>
      <w:r>
        <w:rPr>
          <w:rStyle w:val="EndnoteReference"/>
        </w:rPr>
        <w:endnoteRef/>
      </w:r>
      <w:r>
        <w:t xml:space="preserve"> </w:t>
      </w:r>
      <w:r w:rsidR="00F10137">
        <w:rPr>
          <w:i/>
          <w:iCs/>
        </w:rPr>
        <w:t>Asylum in the EU</w:t>
      </w:r>
      <w:r w:rsidR="00F10137">
        <w:t xml:space="preserve">, </w:t>
      </w:r>
      <w:r w:rsidR="00F10137">
        <w:rPr>
          <w:smallCaps/>
        </w:rPr>
        <w:t>European Commission</w:t>
      </w:r>
      <w:r w:rsidR="002F5A06">
        <w:t xml:space="preserve"> </w:t>
      </w:r>
      <w:r w:rsidR="00D03B05">
        <w:t>(last visited September 19, 2025)</w:t>
      </w:r>
      <w:r w:rsidR="002F5A06">
        <w:t>,</w:t>
      </w:r>
      <w:r w:rsidR="00D03B05">
        <w:t xml:space="preserve"> </w:t>
      </w:r>
      <w:r w:rsidR="00FC2A14" w:rsidRPr="00D03B05">
        <w:t>https://home-affairs.ec.europa.eu/policies/migration-and-asylum/asylum-eu_en</w:t>
      </w:r>
      <w:r w:rsidR="00B137A3">
        <w:t xml:space="preserve">. </w:t>
      </w:r>
    </w:p>
  </w:endnote>
  <w:endnote w:id="24">
    <w:p w14:paraId="1E4C2221" w14:textId="30B68D8E" w:rsidR="00095C40" w:rsidRDefault="00095C40">
      <w:pPr>
        <w:pStyle w:val="EndnoteText"/>
      </w:pPr>
      <w:r>
        <w:rPr>
          <w:rStyle w:val="EndnoteReference"/>
        </w:rPr>
        <w:endnoteRef/>
      </w:r>
      <w:r>
        <w:t xml:space="preserve"> </w:t>
      </w:r>
      <w:r w:rsidR="00872386" w:rsidRPr="00872386">
        <w:rPr>
          <w:i/>
          <w:iCs/>
        </w:rPr>
        <w:t>See</w:t>
      </w:r>
      <w:r w:rsidR="00872386">
        <w:t xml:space="preserve"> </w:t>
      </w:r>
      <w:r w:rsidR="0094735D" w:rsidRPr="00872386">
        <w:t>Eur</w:t>
      </w:r>
      <w:r w:rsidR="005F09B5">
        <w:t>.</w:t>
      </w:r>
      <w:r w:rsidR="0094735D">
        <w:t xml:space="preserve"> Union Agency for Asylum,</w:t>
      </w:r>
      <w:r w:rsidR="00E40AD5">
        <w:t xml:space="preserve"> 2.1 The Common European Asylum System</w:t>
      </w:r>
      <w:r w:rsidR="00572AC7">
        <w:t xml:space="preserve"> </w:t>
      </w:r>
      <w:r w:rsidR="00E40AD5">
        <w:t>and Current Issues,</w:t>
      </w:r>
      <w:r w:rsidR="00572AC7">
        <w:t xml:space="preserve"> </w:t>
      </w:r>
      <w:r w:rsidR="00552B7C" w:rsidRPr="00E454FD">
        <w:rPr>
          <w:smallCaps/>
        </w:rPr>
        <w:t>Asylum Report 2020</w:t>
      </w:r>
      <w:r w:rsidR="008108C7">
        <w:t xml:space="preserve"> (January 2022).</w:t>
      </w:r>
      <w:r>
        <w:t xml:space="preserve"> </w:t>
      </w:r>
    </w:p>
  </w:endnote>
  <w:endnote w:id="25">
    <w:p w14:paraId="0F64BD36" w14:textId="3FBB4AD8" w:rsidR="009511F0" w:rsidRPr="008108C7" w:rsidRDefault="009511F0">
      <w:pPr>
        <w:pStyle w:val="EndnoteText"/>
      </w:pPr>
      <w:r>
        <w:rPr>
          <w:rStyle w:val="EndnoteReference"/>
        </w:rPr>
        <w:endnoteRef/>
      </w:r>
      <w:r>
        <w:t xml:space="preserve"> </w:t>
      </w:r>
      <w:r w:rsidR="008108C7">
        <w:rPr>
          <w:i/>
          <w:iCs/>
        </w:rPr>
        <w:t>Id</w:t>
      </w:r>
      <w:r w:rsidR="008108C7">
        <w:t>.</w:t>
      </w:r>
    </w:p>
  </w:endnote>
  <w:endnote w:id="26">
    <w:p w14:paraId="29EFDC84" w14:textId="22CB5D03" w:rsidR="0015686A" w:rsidRPr="008108C7" w:rsidRDefault="0099759E">
      <w:pPr>
        <w:pStyle w:val="EndnoteText"/>
      </w:pPr>
      <w:r>
        <w:rPr>
          <w:rStyle w:val="EndnoteReference"/>
        </w:rPr>
        <w:endnoteRef/>
      </w:r>
      <w:r>
        <w:t xml:space="preserve"> </w:t>
      </w:r>
      <w:r w:rsidR="000B4A82">
        <w:rPr>
          <w:i/>
          <w:iCs/>
        </w:rPr>
        <w:t>See</w:t>
      </w:r>
      <w:r w:rsidR="000B4A82">
        <w:t xml:space="preserve"> </w:t>
      </w:r>
      <w:r w:rsidR="008108C7">
        <w:rPr>
          <w:i/>
          <w:iCs/>
        </w:rPr>
        <w:t>id</w:t>
      </w:r>
      <w:r w:rsidR="008108C7">
        <w:t>.</w:t>
      </w:r>
    </w:p>
  </w:endnote>
  <w:endnote w:id="27">
    <w:p w14:paraId="0FC8C333" w14:textId="0B8626DC" w:rsidR="00114E93" w:rsidRPr="0058770A" w:rsidRDefault="00114E93" w:rsidP="00E77904">
      <w:pPr>
        <w:pStyle w:val="p1"/>
        <w:rPr>
          <w:rFonts w:ascii="Times New Roman" w:hAnsi="Times New Roman"/>
        </w:rPr>
      </w:pPr>
      <w:r w:rsidRPr="00E77904">
        <w:rPr>
          <w:rStyle w:val="EndnoteReference"/>
          <w:rFonts w:ascii="Times New Roman" w:hAnsi="Times New Roman"/>
        </w:rPr>
        <w:endnoteRef/>
      </w:r>
      <w:r w:rsidRPr="00E77904">
        <w:rPr>
          <w:rFonts w:ascii="Times New Roman" w:hAnsi="Times New Roman"/>
        </w:rPr>
        <w:t xml:space="preserve"> </w:t>
      </w:r>
      <w:r w:rsidRPr="00E77904">
        <w:rPr>
          <w:rFonts w:ascii="Times New Roman" w:hAnsi="Times New Roman"/>
          <w:i/>
          <w:iCs/>
        </w:rPr>
        <w:t>See</w:t>
      </w:r>
      <w:r w:rsidRPr="00E77904">
        <w:rPr>
          <w:rFonts w:ascii="Times New Roman" w:hAnsi="Times New Roman"/>
        </w:rPr>
        <w:t xml:space="preserve"> </w:t>
      </w:r>
      <w:r w:rsidR="00E77904" w:rsidRPr="00E77904">
        <w:rPr>
          <w:rFonts w:ascii="Times New Roman" w:hAnsi="Times New Roman"/>
        </w:rPr>
        <w:t>Regulation 604/2013</w:t>
      </w:r>
      <w:r w:rsidR="0058770A">
        <w:rPr>
          <w:rFonts w:ascii="Times New Roman" w:hAnsi="Times New Roman"/>
        </w:rPr>
        <w:t xml:space="preserve">, </w:t>
      </w:r>
      <w:r w:rsidR="0058770A">
        <w:rPr>
          <w:rFonts w:ascii="Times New Roman" w:hAnsi="Times New Roman"/>
          <w:i/>
          <w:iCs/>
        </w:rPr>
        <w:t>supra</w:t>
      </w:r>
      <w:r w:rsidR="0058770A">
        <w:rPr>
          <w:rFonts w:ascii="Times New Roman" w:hAnsi="Times New Roman"/>
        </w:rPr>
        <w:t xml:space="preserve"> note 3.</w:t>
      </w:r>
    </w:p>
  </w:endnote>
  <w:endnote w:id="28">
    <w:p w14:paraId="325946F0" w14:textId="0587F27A" w:rsidR="009C6DB0" w:rsidRPr="008108C7" w:rsidRDefault="009C6DB0">
      <w:pPr>
        <w:pStyle w:val="EndnoteText"/>
        <w:rPr>
          <w:highlight w:val="green"/>
        </w:rPr>
      </w:pPr>
      <w:r w:rsidRPr="00BF27C9">
        <w:rPr>
          <w:rStyle w:val="EndnoteReference"/>
        </w:rPr>
        <w:endnoteRef/>
      </w:r>
      <w:r w:rsidRPr="00BF27C9">
        <w:t xml:space="preserve"> </w:t>
      </w:r>
      <w:r w:rsidR="00114E93" w:rsidRPr="002E729A">
        <w:rPr>
          <w:i/>
          <w:iCs/>
        </w:rPr>
        <w:t xml:space="preserve">EU asylum policy: EU Member State </w:t>
      </w:r>
      <w:r w:rsidR="003F74CC" w:rsidRPr="002E729A">
        <w:rPr>
          <w:i/>
          <w:iCs/>
        </w:rPr>
        <w:t>R</w:t>
      </w:r>
      <w:r w:rsidR="00114E93" w:rsidRPr="002E729A">
        <w:rPr>
          <w:i/>
          <w:iCs/>
        </w:rPr>
        <w:t xml:space="preserve">esponsible for </w:t>
      </w:r>
      <w:r w:rsidR="003F74CC" w:rsidRPr="002E729A">
        <w:rPr>
          <w:i/>
          <w:iCs/>
        </w:rPr>
        <w:t>E</w:t>
      </w:r>
      <w:r w:rsidR="00114E93" w:rsidRPr="002E729A">
        <w:rPr>
          <w:i/>
          <w:iCs/>
        </w:rPr>
        <w:t xml:space="preserve">xamining </w:t>
      </w:r>
      <w:r w:rsidR="003F74CC" w:rsidRPr="002E729A">
        <w:rPr>
          <w:i/>
          <w:iCs/>
        </w:rPr>
        <w:t>A</w:t>
      </w:r>
      <w:r w:rsidR="00114E93" w:rsidRPr="002E729A">
        <w:rPr>
          <w:i/>
          <w:iCs/>
        </w:rPr>
        <w:t>pplications</w:t>
      </w:r>
      <w:r w:rsidR="00114E93" w:rsidRPr="00BF27C9">
        <w:t>,</w:t>
      </w:r>
      <w:r w:rsidR="003F74CC">
        <w:t xml:space="preserve"> </w:t>
      </w:r>
      <w:r w:rsidR="003F74CC">
        <w:rPr>
          <w:smallCaps/>
        </w:rPr>
        <w:t>European Union</w:t>
      </w:r>
      <w:r w:rsidR="001929E8">
        <w:t xml:space="preserve"> (last visited September 24, 2025),</w:t>
      </w:r>
      <w:r w:rsidR="00114E93" w:rsidRPr="00BF27C9">
        <w:t xml:space="preserve"> </w:t>
      </w:r>
      <w:r w:rsidR="00114E93" w:rsidRPr="00443703">
        <w:t>https://eur-lex.europa.eu/EN/legal-content/summary/eu-asylum-policy-eu-member-state-responsible-for-examining-applications.html#:~:text=WHAT%20IS%20THE%20AIM%20OF,develop%20into%20full%2Dblown%20crises</w:t>
      </w:r>
      <w:r w:rsidR="001929E8">
        <w:t>.</w:t>
      </w:r>
    </w:p>
  </w:endnote>
  <w:endnote w:id="29">
    <w:p w14:paraId="18B29E41" w14:textId="527B5E57" w:rsidR="004426D8" w:rsidRDefault="004426D8">
      <w:pPr>
        <w:pStyle w:val="EndnoteText"/>
      </w:pPr>
      <w:r w:rsidRPr="0090451A">
        <w:rPr>
          <w:rStyle w:val="EndnoteReference"/>
        </w:rPr>
        <w:endnoteRef/>
      </w:r>
      <w:r w:rsidRPr="0090451A">
        <w:t xml:space="preserve"> </w:t>
      </w:r>
      <w:r w:rsidR="00DA7A4A">
        <w:rPr>
          <w:i/>
          <w:iCs/>
        </w:rPr>
        <w:t>Country Responsible for Asylum Application (Dublin Regulation)</w:t>
      </w:r>
      <w:r w:rsidR="00DA7A4A">
        <w:t xml:space="preserve">, </w:t>
      </w:r>
      <w:r w:rsidR="00DA7A4A">
        <w:rPr>
          <w:smallCaps/>
        </w:rPr>
        <w:t>European Commission</w:t>
      </w:r>
      <w:r w:rsidR="00CA59DB">
        <w:t xml:space="preserve"> </w:t>
      </w:r>
      <w:r w:rsidR="00DA7A4A">
        <w:t>(last visited September 19, 2025)</w:t>
      </w:r>
      <w:r w:rsidR="002F5A06">
        <w:t>,</w:t>
      </w:r>
      <w:r w:rsidR="00DA7A4A">
        <w:t xml:space="preserve"> </w:t>
      </w:r>
      <w:r w:rsidR="00DA7A4A" w:rsidRPr="00AF4064">
        <w:t>https://home-affairs.ec.europa.eu/policies/migration-and-asylum/asylum-eu/country-responsible-asylum-application-dublin-regulation_en</w:t>
      </w:r>
      <w:r w:rsidR="00DA7A4A">
        <w:t>.</w:t>
      </w:r>
    </w:p>
  </w:endnote>
  <w:endnote w:id="30">
    <w:p w14:paraId="3C456CEE" w14:textId="6367D38B" w:rsidR="00E655F4" w:rsidRPr="00DA7A4A" w:rsidRDefault="00E655F4">
      <w:pPr>
        <w:pStyle w:val="EndnoteText"/>
      </w:pPr>
      <w:r>
        <w:rPr>
          <w:rStyle w:val="EndnoteReference"/>
        </w:rPr>
        <w:endnoteRef/>
      </w:r>
      <w:r>
        <w:t xml:space="preserve"> </w:t>
      </w:r>
      <w:r w:rsidR="00DA7A4A">
        <w:rPr>
          <w:i/>
          <w:iCs/>
        </w:rPr>
        <w:t>Id</w:t>
      </w:r>
      <w:r w:rsidR="00DA7A4A">
        <w:t>.</w:t>
      </w:r>
    </w:p>
  </w:endnote>
  <w:endnote w:id="31">
    <w:p w14:paraId="0B64B503" w14:textId="71B38C97" w:rsidR="00682F6C" w:rsidRPr="00AD520F" w:rsidRDefault="00682F6C">
      <w:pPr>
        <w:pStyle w:val="EndnoteText"/>
      </w:pPr>
      <w:r w:rsidRPr="00AD520F">
        <w:rPr>
          <w:rStyle w:val="EndnoteReference"/>
        </w:rPr>
        <w:endnoteRef/>
      </w:r>
      <w:r w:rsidRPr="00AD520F">
        <w:t xml:space="preserve"> </w:t>
      </w:r>
      <w:r w:rsidR="00AD520F" w:rsidRPr="00E77904">
        <w:t>Regulation 604/2013</w:t>
      </w:r>
      <w:r w:rsidR="00AD520F">
        <w:t xml:space="preserve">, </w:t>
      </w:r>
      <w:r w:rsidR="00AD520F" w:rsidRPr="00943E0D">
        <w:rPr>
          <w:i/>
          <w:iCs/>
        </w:rPr>
        <w:t>supra</w:t>
      </w:r>
      <w:r w:rsidR="00AD520F">
        <w:t xml:space="preserve"> note </w:t>
      </w:r>
      <w:r w:rsidR="0058770A">
        <w:t>3</w:t>
      </w:r>
      <w:r w:rsidR="00B54218">
        <w:t xml:space="preserve">. </w:t>
      </w:r>
    </w:p>
  </w:endnote>
  <w:endnote w:id="32">
    <w:p w14:paraId="268B3DFA" w14:textId="42212A71" w:rsidR="00014CA7" w:rsidRPr="00AD520F" w:rsidRDefault="00014CA7">
      <w:pPr>
        <w:pStyle w:val="EndnoteText"/>
      </w:pPr>
      <w:r w:rsidRPr="00AD520F">
        <w:rPr>
          <w:rStyle w:val="EndnoteReference"/>
        </w:rPr>
        <w:endnoteRef/>
      </w:r>
      <w:r w:rsidRPr="00AD520F">
        <w:t xml:space="preserve"> </w:t>
      </w:r>
      <w:r w:rsidR="00B54218">
        <w:rPr>
          <w:i/>
          <w:iCs/>
        </w:rPr>
        <w:t>Id</w:t>
      </w:r>
      <w:r w:rsidR="00B54218">
        <w:t>. at</w:t>
      </w:r>
      <w:r w:rsidR="00B54218" w:rsidRPr="00AD520F">
        <w:t xml:space="preserve"> </w:t>
      </w:r>
      <w:r w:rsidR="00B54218">
        <w:t xml:space="preserve">Ch. II, </w:t>
      </w:r>
      <w:r w:rsidR="00B54218" w:rsidRPr="00AD520F">
        <w:t>Art</w:t>
      </w:r>
      <w:r w:rsidR="00B54218">
        <w:t>.</w:t>
      </w:r>
      <w:r w:rsidR="00B54218" w:rsidRPr="00AD520F">
        <w:t xml:space="preserve"> 3(1)</w:t>
      </w:r>
      <w:r w:rsidR="00B54218">
        <w:t>.</w:t>
      </w:r>
    </w:p>
  </w:endnote>
  <w:endnote w:id="33">
    <w:p w14:paraId="5CE5BA52" w14:textId="3FAD5FF4" w:rsidR="00D879D2" w:rsidRPr="00B54218" w:rsidRDefault="00D879D2">
      <w:pPr>
        <w:pStyle w:val="EndnoteText"/>
      </w:pPr>
      <w:r w:rsidRPr="00AD520F">
        <w:rPr>
          <w:rStyle w:val="EndnoteReference"/>
        </w:rPr>
        <w:endnoteRef/>
      </w:r>
      <w:r w:rsidR="008D73EB" w:rsidRPr="00AD520F">
        <w:t xml:space="preserve"> </w:t>
      </w:r>
      <w:r w:rsidR="00B54218">
        <w:rPr>
          <w:i/>
          <w:iCs/>
        </w:rPr>
        <w:t>Id</w:t>
      </w:r>
      <w:r w:rsidR="00B54218">
        <w:t xml:space="preserve">. </w:t>
      </w:r>
    </w:p>
  </w:endnote>
  <w:endnote w:id="34">
    <w:p w14:paraId="37F16471" w14:textId="13A7ADD9" w:rsidR="008E6474" w:rsidRPr="00B54218" w:rsidRDefault="008E6474">
      <w:pPr>
        <w:pStyle w:val="EndnoteText"/>
      </w:pPr>
      <w:r w:rsidRPr="00AD520F">
        <w:rPr>
          <w:rStyle w:val="EndnoteReference"/>
        </w:rPr>
        <w:endnoteRef/>
      </w:r>
      <w:r w:rsidRPr="00AD520F">
        <w:t xml:space="preserve"> </w:t>
      </w:r>
      <w:r w:rsidR="00B54218">
        <w:rPr>
          <w:i/>
          <w:iCs/>
        </w:rPr>
        <w:t>Id</w:t>
      </w:r>
      <w:r w:rsidR="00B54218">
        <w:t xml:space="preserve">. at </w:t>
      </w:r>
      <w:proofErr w:type="spellStart"/>
      <w:r w:rsidR="00B54218">
        <w:t>Ch.III</w:t>
      </w:r>
      <w:proofErr w:type="spellEnd"/>
      <w:r w:rsidR="00B54218">
        <w:t>, Art.</w:t>
      </w:r>
      <w:r w:rsidR="008B0322">
        <w:t xml:space="preserve"> 7.</w:t>
      </w:r>
    </w:p>
  </w:endnote>
  <w:endnote w:id="35">
    <w:p w14:paraId="1FBAA1E7" w14:textId="49C57B5A" w:rsidR="008D73B3" w:rsidRPr="00AD520F" w:rsidRDefault="008D73B3">
      <w:pPr>
        <w:pStyle w:val="EndnoteText"/>
      </w:pPr>
      <w:r w:rsidRPr="00AD520F">
        <w:rPr>
          <w:rStyle w:val="EndnoteReference"/>
        </w:rPr>
        <w:endnoteRef/>
      </w:r>
      <w:r w:rsidRPr="00AD520F">
        <w:t xml:space="preserve"> </w:t>
      </w:r>
      <w:r w:rsidR="008B0322">
        <w:rPr>
          <w:i/>
          <w:iCs/>
        </w:rPr>
        <w:t>Id</w:t>
      </w:r>
      <w:r w:rsidR="008B0322">
        <w:t>. at</w:t>
      </w:r>
      <w:r w:rsidR="00D80762" w:rsidRPr="00AD520F">
        <w:t xml:space="preserve"> Ch</w:t>
      </w:r>
      <w:r w:rsidR="008B0322">
        <w:t>.</w:t>
      </w:r>
      <w:r w:rsidR="00D80762" w:rsidRPr="00AD520F">
        <w:t xml:space="preserve"> III, Art</w:t>
      </w:r>
      <w:r w:rsidR="008B0322">
        <w:t xml:space="preserve">. </w:t>
      </w:r>
      <w:r w:rsidR="00D80762" w:rsidRPr="00AD520F">
        <w:t>8-11</w:t>
      </w:r>
      <w:r w:rsidR="008B0322">
        <w:t>.</w:t>
      </w:r>
    </w:p>
  </w:endnote>
  <w:endnote w:id="36">
    <w:p w14:paraId="371A3671" w14:textId="7F1E7EB9" w:rsidR="003D7AE1" w:rsidRPr="008B0322" w:rsidRDefault="003D7AE1">
      <w:pPr>
        <w:pStyle w:val="EndnoteText"/>
      </w:pPr>
      <w:r w:rsidRPr="00AD520F">
        <w:rPr>
          <w:rStyle w:val="EndnoteReference"/>
        </w:rPr>
        <w:endnoteRef/>
      </w:r>
      <w:r w:rsidRPr="00AD520F">
        <w:t xml:space="preserve"> </w:t>
      </w:r>
      <w:r w:rsidR="008B0322">
        <w:rPr>
          <w:i/>
          <w:iCs/>
        </w:rPr>
        <w:t>Id</w:t>
      </w:r>
      <w:r w:rsidR="008B0322">
        <w:t xml:space="preserve">. </w:t>
      </w:r>
    </w:p>
  </w:endnote>
  <w:endnote w:id="37">
    <w:p w14:paraId="0B9910A8" w14:textId="37998A55" w:rsidR="000F45F4" w:rsidRDefault="000F45F4">
      <w:pPr>
        <w:pStyle w:val="EndnoteText"/>
      </w:pPr>
      <w:r>
        <w:rPr>
          <w:rStyle w:val="EndnoteReference"/>
        </w:rPr>
        <w:endnoteRef/>
      </w:r>
      <w:r>
        <w:t xml:space="preserve"> </w:t>
      </w:r>
      <w:r w:rsidR="00403FF8">
        <w:rPr>
          <w:i/>
          <w:iCs/>
        </w:rPr>
        <w:t>Country Responsible for Asylum Application (Dublin Regulation)</w:t>
      </w:r>
      <w:r w:rsidR="00403FF8">
        <w:t xml:space="preserve">, </w:t>
      </w:r>
      <w:r w:rsidR="007817CB" w:rsidRPr="00943E0D">
        <w:rPr>
          <w:i/>
          <w:iCs/>
        </w:rPr>
        <w:t>supra</w:t>
      </w:r>
      <w:r w:rsidR="007817CB">
        <w:t xml:space="preserve"> note 2</w:t>
      </w:r>
      <w:r w:rsidR="00B748A8">
        <w:t>4</w:t>
      </w:r>
      <w:r w:rsidR="007817CB">
        <w:t xml:space="preserve">. </w:t>
      </w:r>
    </w:p>
  </w:endnote>
  <w:endnote w:id="38">
    <w:p w14:paraId="1D03EED6" w14:textId="5C206417" w:rsidR="0037206A" w:rsidRDefault="0037206A">
      <w:pPr>
        <w:pStyle w:val="EndnoteText"/>
      </w:pPr>
      <w:r w:rsidRPr="007817CB">
        <w:rPr>
          <w:rStyle w:val="EndnoteReference"/>
        </w:rPr>
        <w:endnoteRef/>
      </w:r>
      <w:r w:rsidRPr="007817CB">
        <w:t xml:space="preserve"> </w:t>
      </w:r>
      <w:r w:rsidR="007817CB" w:rsidRPr="00E77904">
        <w:t>Regulation 604/2013</w:t>
      </w:r>
      <w:r w:rsidR="007817CB">
        <w:t xml:space="preserve">, </w:t>
      </w:r>
      <w:r w:rsidR="007817CB" w:rsidRPr="00943E0D">
        <w:rPr>
          <w:i/>
          <w:iCs/>
        </w:rPr>
        <w:t>supra</w:t>
      </w:r>
      <w:r w:rsidR="007817CB">
        <w:t xml:space="preserve"> note 23 at </w:t>
      </w:r>
      <w:proofErr w:type="spellStart"/>
      <w:r w:rsidR="005C3600">
        <w:t>Ch.III</w:t>
      </w:r>
      <w:proofErr w:type="spellEnd"/>
      <w:r w:rsidR="005C3600">
        <w:t>, Art. 12.</w:t>
      </w:r>
    </w:p>
  </w:endnote>
  <w:endnote w:id="39">
    <w:p w14:paraId="039A1C05" w14:textId="27F8E015" w:rsidR="00AC2E58" w:rsidRDefault="00AC2E58">
      <w:pPr>
        <w:pStyle w:val="EndnoteText"/>
      </w:pPr>
      <w:r>
        <w:rPr>
          <w:rStyle w:val="EndnoteReference"/>
        </w:rPr>
        <w:endnoteRef/>
      </w:r>
      <w:r>
        <w:t xml:space="preserve"> </w:t>
      </w:r>
      <w:r w:rsidR="00005F57">
        <w:rPr>
          <w:i/>
          <w:iCs/>
        </w:rPr>
        <w:t>Country Responsible for Asylum Application (Dublin Regulation)</w:t>
      </w:r>
      <w:r w:rsidR="00005F57">
        <w:t xml:space="preserve">, </w:t>
      </w:r>
      <w:r w:rsidR="005C3600" w:rsidRPr="00943E0D">
        <w:rPr>
          <w:i/>
          <w:iCs/>
        </w:rPr>
        <w:t>supra</w:t>
      </w:r>
      <w:r w:rsidR="005C3600">
        <w:t xml:space="preserve"> note </w:t>
      </w:r>
      <w:r w:rsidR="00B748A8">
        <w:t>24</w:t>
      </w:r>
      <w:r w:rsidR="005C3600">
        <w:t xml:space="preserve">. </w:t>
      </w:r>
    </w:p>
  </w:endnote>
  <w:endnote w:id="40">
    <w:p w14:paraId="22A71EDE" w14:textId="1F785F41" w:rsidR="006E38D3" w:rsidRPr="00005F57" w:rsidRDefault="006E38D3">
      <w:pPr>
        <w:pStyle w:val="EndnoteText"/>
        <w:rPr>
          <w:highlight w:val="green"/>
        </w:rPr>
      </w:pPr>
      <w:r w:rsidRPr="005C3600">
        <w:rPr>
          <w:rStyle w:val="EndnoteReference"/>
        </w:rPr>
        <w:endnoteRef/>
      </w:r>
      <w:r w:rsidRPr="005C3600">
        <w:t xml:space="preserve"> </w:t>
      </w:r>
      <w:r w:rsidR="005C3600" w:rsidRPr="00E77904">
        <w:t>Regulation 604/2013</w:t>
      </w:r>
      <w:r w:rsidR="005C3600">
        <w:t xml:space="preserve">, </w:t>
      </w:r>
      <w:r w:rsidR="005C3600" w:rsidRPr="00943E0D">
        <w:rPr>
          <w:i/>
          <w:iCs/>
        </w:rPr>
        <w:t>supra</w:t>
      </w:r>
      <w:r w:rsidR="005C3600">
        <w:t xml:space="preserve"> note 23 at </w:t>
      </w:r>
      <w:proofErr w:type="spellStart"/>
      <w:r w:rsidR="005C3600">
        <w:t>Ch.III</w:t>
      </w:r>
      <w:proofErr w:type="spellEnd"/>
      <w:r w:rsidR="005C3600">
        <w:t xml:space="preserve">, Art. 13 </w:t>
      </w:r>
      <w:r w:rsidR="002C0543" w:rsidRPr="005C3600">
        <w:t xml:space="preserve">(However, that </w:t>
      </w:r>
      <w:r w:rsidR="00556F4C" w:rsidRPr="005C3600">
        <w:t>country initially entered will only be responsible for the applicant for twelve months after the entry took place.)</w:t>
      </w:r>
      <w:r w:rsidR="005C3600">
        <w:t>.</w:t>
      </w:r>
    </w:p>
  </w:endnote>
  <w:endnote w:id="41">
    <w:p w14:paraId="0B0B30BF" w14:textId="2CFE8083" w:rsidR="00ED719A" w:rsidRPr="005C3600" w:rsidRDefault="00ED719A">
      <w:pPr>
        <w:pStyle w:val="EndnoteText"/>
      </w:pPr>
      <w:r w:rsidRPr="005C3600">
        <w:rPr>
          <w:rStyle w:val="EndnoteReference"/>
        </w:rPr>
        <w:endnoteRef/>
      </w:r>
      <w:r w:rsidRPr="005C3600">
        <w:t xml:space="preserve"> </w:t>
      </w:r>
      <w:r w:rsidR="005C3600">
        <w:rPr>
          <w:i/>
          <w:iCs/>
        </w:rPr>
        <w:t>Id</w:t>
      </w:r>
      <w:r w:rsidR="005C3600">
        <w:t xml:space="preserve">. at </w:t>
      </w:r>
      <w:proofErr w:type="spellStart"/>
      <w:r w:rsidR="005C3600">
        <w:t>Ch.III</w:t>
      </w:r>
      <w:proofErr w:type="spellEnd"/>
      <w:r w:rsidR="005C3600">
        <w:t xml:space="preserve">, Art. 14-15. </w:t>
      </w:r>
    </w:p>
  </w:endnote>
  <w:endnote w:id="42">
    <w:p w14:paraId="580BA3D4" w14:textId="0A604C05" w:rsidR="00B94B15" w:rsidRDefault="00B94B15">
      <w:pPr>
        <w:pStyle w:val="EndnoteText"/>
      </w:pPr>
      <w:r>
        <w:rPr>
          <w:rStyle w:val="EndnoteReference"/>
        </w:rPr>
        <w:endnoteRef/>
      </w:r>
      <w:r>
        <w:t xml:space="preserve"> </w:t>
      </w:r>
      <w:r w:rsidR="00005F57">
        <w:rPr>
          <w:i/>
          <w:iCs/>
        </w:rPr>
        <w:t>Country Responsible for Asylum Application (Dublin Regulation</w:t>
      </w:r>
      <w:r w:rsidR="00005F57" w:rsidRPr="00ED138F">
        <w:rPr>
          <w:i/>
          <w:iCs/>
        </w:rPr>
        <w:t>)</w:t>
      </w:r>
      <w:r w:rsidR="00005F57" w:rsidRPr="00ED138F">
        <w:t xml:space="preserve">, </w:t>
      </w:r>
      <w:r w:rsidR="00005F57" w:rsidRPr="00943E0D">
        <w:rPr>
          <w:i/>
          <w:iCs/>
        </w:rPr>
        <w:t>supra</w:t>
      </w:r>
      <w:r w:rsidR="00005F57" w:rsidRPr="00ED138F">
        <w:t xml:space="preserve"> note </w:t>
      </w:r>
      <w:r w:rsidR="00ED138F">
        <w:t>2</w:t>
      </w:r>
      <w:r w:rsidR="00B748A8">
        <w:t>4</w:t>
      </w:r>
      <w:r w:rsidR="00ED138F">
        <w:t>.</w:t>
      </w:r>
    </w:p>
  </w:endnote>
  <w:endnote w:id="43">
    <w:p w14:paraId="24F76DF8" w14:textId="73757821" w:rsidR="00DE6524" w:rsidRPr="00FA204F" w:rsidRDefault="00DE6524">
      <w:pPr>
        <w:pStyle w:val="EndnoteText"/>
      </w:pPr>
      <w:r>
        <w:rPr>
          <w:rStyle w:val="EndnoteReference"/>
        </w:rPr>
        <w:endnoteRef/>
      </w:r>
      <w:r w:rsidRPr="00FA204F">
        <w:t xml:space="preserve"> </w:t>
      </w:r>
      <w:proofErr w:type="spellStart"/>
      <w:r w:rsidR="00EF59C4" w:rsidRPr="00FA204F">
        <w:t>Gesley</w:t>
      </w:r>
      <w:proofErr w:type="spellEnd"/>
      <w:r w:rsidR="00EF59C4" w:rsidRPr="00FA204F">
        <w:t xml:space="preserve">, </w:t>
      </w:r>
      <w:r w:rsidR="0073734A" w:rsidRPr="00943E0D">
        <w:rPr>
          <w:i/>
          <w:iCs/>
        </w:rPr>
        <w:t>supra</w:t>
      </w:r>
      <w:r w:rsidR="0073734A" w:rsidRPr="00FA204F">
        <w:t xml:space="preserve"> note </w:t>
      </w:r>
      <w:r w:rsidR="00B748A8" w:rsidRPr="00FA204F">
        <w:t>4</w:t>
      </w:r>
      <w:r w:rsidR="0073734A" w:rsidRPr="00FA204F">
        <w:t>.</w:t>
      </w:r>
    </w:p>
  </w:endnote>
  <w:endnote w:id="44">
    <w:p w14:paraId="32410034" w14:textId="0BB6DA57" w:rsidR="00D14EF3" w:rsidRPr="00FA204F" w:rsidRDefault="00D14EF3">
      <w:pPr>
        <w:pStyle w:val="EndnoteText"/>
      </w:pPr>
      <w:r>
        <w:rPr>
          <w:rStyle w:val="EndnoteReference"/>
        </w:rPr>
        <w:endnoteRef/>
      </w:r>
      <w:r w:rsidRPr="00FA204F">
        <w:t xml:space="preserve"> </w:t>
      </w:r>
      <w:r w:rsidR="002F5A06" w:rsidRPr="00FA204F">
        <w:rPr>
          <w:i/>
          <w:iCs/>
        </w:rPr>
        <w:t>Id</w:t>
      </w:r>
      <w:r w:rsidR="002F5A06" w:rsidRPr="00FA204F">
        <w:t>.</w:t>
      </w:r>
    </w:p>
  </w:endnote>
  <w:endnote w:id="45">
    <w:p w14:paraId="3D2C46AB" w14:textId="1A529828" w:rsidR="00DE1FDD" w:rsidRPr="00FA204F" w:rsidRDefault="00DE1FDD">
      <w:pPr>
        <w:pStyle w:val="EndnoteText"/>
      </w:pPr>
      <w:r>
        <w:rPr>
          <w:rStyle w:val="EndnoteReference"/>
        </w:rPr>
        <w:endnoteRef/>
      </w:r>
      <w:r w:rsidRPr="00FA204F">
        <w:t xml:space="preserve"> </w:t>
      </w:r>
      <w:r w:rsidR="002F5A06" w:rsidRPr="00FA204F">
        <w:rPr>
          <w:i/>
          <w:iCs/>
        </w:rPr>
        <w:t>Id</w:t>
      </w:r>
      <w:r w:rsidR="002F5A06" w:rsidRPr="00FA204F">
        <w:t>.</w:t>
      </w:r>
    </w:p>
  </w:endnote>
  <w:endnote w:id="46">
    <w:p w14:paraId="1C294431" w14:textId="3989E8FF" w:rsidR="0005576A" w:rsidRDefault="0005576A">
      <w:pPr>
        <w:pStyle w:val="EndnoteText"/>
      </w:pPr>
      <w:r>
        <w:rPr>
          <w:rStyle w:val="EndnoteReference"/>
        </w:rPr>
        <w:endnoteRef/>
      </w:r>
      <w:r>
        <w:t xml:space="preserve"> </w:t>
      </w:r>
      <w:r w:rsidR="002F5A06">
        <w:rPr>
          <w:i/>
          <w:iCs/>
        </w:rPr>
        <w:t>Id</w:t>
      </w:r>
      <w:r w:rsidR="002F5A06">
        <w:t>.</w:t>
      </w:r>
    </w:p>
  </w:endnote>
  <w:endnote w:id="47">
    <w:p w14:paraId="79C76C70" w14:textId="5B055056" w:rsidR="009072FF" w:rsidRDefault="009072FF">
      <w:pPr>
        <w:pStyle w:val="EndnoteText"/>
      </w:pPr>
      <w:r w:rsidRPr="00443703">
        <w:rPr>
          <w:rStyle w:val="EndnoteReference"/>
        </w:rPr>
        <w:endnoteRef/>
      </w:r>
      <w:r w:rsidRPr="00443703">
        <w:t xml:space="preserve"> </w:t>
      </w:r>
      <w:r w:rsidR="00747891" w:rsidRPr="002E729A">
        <w:rPr>
          <w:i/>
          <w:iCs/>
        </w:rPr>
        <w:t xml:space="preserve">Primacy of EU </w:t>
      </w:r>
      <w:r w:rsidR="002E729A" w:rsidRPr="002E729A">
        <w:rPr>
          <w:i/>
          <w:iCs/>
        </w:rPr>
        <w:t>La</w:t>
      </w:r>
      <w:r w:rsidR="00747891" w:rsidRPr="002E729A">
        <w:rPr>
          <w:i/>
          <w:iCs/>
        </w:rPr>
        <w:t>w (</w:t>
      </w:r>
      <w:r w:rsidR="002E729A" w:rsidRPr="002E729A">
        <w:rPr>
          <w:i/>
          <w:iCs/>
        </w:rPr>
        <w:t>P</w:t>
      </w:r>
      <w:r w:rsidR="00747891" w:rsidRPr="002E729A">
        <w:rPr>
          <w:i/>
          <w:iCs/>
        </w:rPr>
        <w:t xml:space="preserve">recedence, </w:t>
      </w:r>
      <w:r w:rsidR="002E729A" w:rsidRPr="002E729A">
        <w:rPr>
          <w:i/>
          <w:iCs/>
        </w:rPr>
        <w:t>S</w:t>
      </w:r>
      <w:r w:rsidR="00747891" w:rsidRPr="002E729A">
        <w:rPr>
          <w:i/>
          <w:iCs/>
        </w:rPr>
        <w:t>upremac</w:t>
      </w:r>
      <w:r w:rsidR="002E729A">
        <w:rPr>
          <w:i/>
          <w:iCs/>
        </w:rPr>
        <w:t>y)</w:t>
      </w:r>
      <w:r w:rsidR="00747891" w:rsidRPr="00443703">
        <w:t>,</w:t>
      </w:r>
      <w:r w:rsidR="002E729A">
        <w:t xml:space="preserve"> </w:t>
      </w:r>
      <w:r w:rsidR="002E729A">
        <w:rPr>
          <w:smallCaps/>
        </w:rPr>
        <w:t>European Union</w:t>
      </w:r>
      <w:r w:rsidR="002E729A">
        <w:t xml:space="preserve"> (last visited September 24, 2025),</w:t>
      </w:r>
      <w:r w:rsidR="00747891" w:rsidRPr="00443703">
        <w:t xml:space="preserve"> </w:t>
      </w:r>
      <w:r w:rsidR="00443703" w:rsidRPr="002E729A">
        <w:t>https://eur-lex.europa.eu/EN/legal-content/glossary/primacy-of-eu-law-precedence-supremacy.html</w:t>
      </w:r>
      <w:r w:rsidR="002E729A">
        <w:t>.</w:t>
      </w:r>
    </w:p>
  </w:endnote>
  <w:endnote w:id="48">
    <w:p w14:paraId="6B74FFA1" w14:textId="0B930D44" w:rsidR="00747891" w:rsidRPr="00734F87" w:rsidRDefault="00747891">
      <w:pPr>
        <w:pStyle w:val="EndnoteText"/>
      </w:pPr>
      <w:r>
        <w:rPr>
          <w:rStyle w:val="EndnoteReference"/>
        </w:rPr>
        <w:endnoteRef/>
      </w:r>
      <w:r w:rsidRPr="00734F87">
        <w:t xml:space="preserve"> </w:t>
      </w:r>
      <w:proofErr w:type="spellStart"/>
      <w:r w:rsidR="00B5194F" w:rsidRPr="00734F87">
        <w:t>Gesley</w:t>
      </w:r>
      <w:proofErr w:type="spellEnd"/>
      <w:r w:rsidR="00B5194F" w:rsidRPr="00734F87">
        <w:t xml:space="preserve">, </w:t>
      </w:r>
      <w:r w:rsidR="00B5194F" w:rsidRPr="00943E0D">
        <w:rPr>
          <w:i/>
          <w:iCs/>
        </w:rPr>
        <w:t>supra</w:t>
      </w:r>
      <w:r w:rsidR="00B5194F" w:rsidRPr="00734F87">
        <w:t xml:space="preserve"> note </w:t>
      </w:r>
      <w:r w:rsidR="00B748A8" w:rsidRPr="00734F87">
        <w:t>4</w:t>
      </w:r>
      <w:r w:rsidR="00ED138F" w:rsidRPr="00734F87">
        <w:t>.</w:t>
      </w:r>
    </w:p>
  </w:endnote>
  <w:endnote w:id="49">
    <w:p w14:paraId="31643242" w14:textId="28FC1C33" w:rsidR="009E08E1" w:rsidRPr="00734F87" w:rsidRDefault="009E08E1">
      <w:pPr>
        <w:pStyle w:val="EndnoteText"/>
      </w:pPr>
      <w:r>
        <w:rPr>
          <w:rStyle w:val="EndnoteReference"/>
        </w:rPr>
        <w:endnoteRef/>
      </w:r>
      <w:r w:rsidRPr="00734F87">
        <w:t xml:space="preserve"> </w:t>
      </w:r>
      <w:r w:rsidR="00771292" w:rsidRPr="00734F87">
        <w:rPr>
          <w:i/>
          <w:iCs/>
        </w:rPr>
        <w:t>Id</w:t>
      </w:r>
      <w:r w:rsidR="00771292" w:rsidRPr="00734F87">
        <w:t>.</w:t>
      </w:r>
    </w:p>
  </w:endnote>
  <w:endnote w:id="50">
    <w:p w14:paraId="28BFAB31" w14:textId="5BC0505C" w:rsidR="00664AE8" w:rsidRPr="00734F87" w:rsidRDefault="00664AE8">
      <w:pPr>
        <w:pStyle w:val="EndnoteText"/>
      </w:pPr>
      <w:r>
        <w:rPr>
          <w:rStyle w:val="EndnoteReference"/>
        </w:rPr>
        <w:endnoteRef/>
      </w:r>
      <w:r w:rsidRPr="00734F87">
        <w:t xml:space="preserve"> </w:t>
      </w:r>
      <w:r w:rsidR="00771292" w:rsidRPr="00734F87">
        <w:rPr>
          <w:i/>
          <w:iCs/>
        </w:rPr>
        <w:t>Id</w:t>
      </w:r>
      <w:r w:rsidR="00771292" w:rsidRPr="00734F87">
        <w:t>.</w:t>
      </w:r>
    </w:p>
  </w:endnote>
  <w:endnote w:id="51">
    <w:p w14:paraId="20E610F0" w14:textId="77977E93" w:rsidR="00664AE8" w:rsidRPr="00841D22" w:rsidRDefault="00664AE8">
      <w:pPr>
        <w:pStyle w:val="EndnoteText"/>
        <w:rPr>
          <w:lang w:val="fr-FR"/>
        </w:rPr>
      </w:pPr>
      <w:r w:rsidRPr="0063760B">
        <w:rPr>
          <w:rStyle w:val="EndnoteReference"/>
        </w:rPr>
        <w:endnoteRef/>
      </w:r>
      <w:r w:rsidRPr="00841D22">
        <w:rPr>
          <w:lang w:val="fr-FR"/>
        </w:rPr>
        <w:t xml:space="preserve"> </w:t>
      </w:r>
      <w:r w:rsidR="00026FA3" w:rsidRPr="00841D22">
        <w:rPr>
          <w:lang w:val="fr-FR"/>
        </w:rPr>
        <w:t xml:space="preserve">Case C-646/16, </w:t>
      </w:r>
      <w:proofErr w:type="spellStart"/>
      <w:r w:rsidR="00026FA3" w:rsidRPr="00841D22">
        <w:rPr>
          <w:lang w:val="fr-FR"/>
        </w:rPr>
        <w:t>Jafari</w:t>
      </w:r>
      <w:proofErr w:type="spellEnd"/>
      <w:r w:rsidR="00026FA3" w:rsidRPr="00841D22">
        <w:rPr>
          <w:lang w:val="fr-FR"/>
        </w:rPr>
        <w:t xml:space="preserve"> &amp; </w:t>
      </w:r>
      <w:proofErr w:type="spellStart"/>
      <w:r w:rsidR="00026FA3" w:rsidRPr="00841D22">
        <w:rPr>
          <w:lang w:val="fr-FR"/>
        </w:rPr>
        <w:t>Jafari</w:t>
      </w:r>
      <w:proofErr w:type="spellEnd"/>
      <w:r w:rsidR="00026FA3" w:rsidRPr="00841D22">
        <w:rPr>
          <w:lang w:val="fr-FR"/>
        </w:rPr>
        <w:t xml:space="preserve"> v. </w:t>
      </w:r>
      <w:proofErr w:type="spellStart"/>
      <w:r w:rsidR="00026FA3" w:rsidRPr="00841D22">
        <w:rPr>
          <w:lang w:val="fr-FR"/>
        </w:rPr>
        <w:t>Austria</w:t>
      </w:r>
      <w:proofErr w:type="spellEnd"/>
      <w:r w:rsidR="00026FA3" w:rsidRPr="00841D22">
        <w:rPr>
          <w:lang w:val="fr-FR"/>
        </w:rPr>
        <w:t xml:space="preserve">, </w:t>
      </w:r>
      <w:proofErr w:type="gramStart"/>
      <w:r w:rsidR="0067095E" w:rsidRPr="00841D22">
        <w:rPr>
          <w:lang w:val="fr-FR"/>
        </w:rPr>
        <w:t>ECLI:EU:C:2019:</w:t>
      </w:r>
      <w:proofErr w:type="gramEnd"/>
      <w:r w:rsidR="0067095E" w:rsidRPr="00841D22">
        <w:rPr>
          <w:lang w:val="fr-FR"/>
        </w:rPr>
        <w:t>586</w:t>
      </w:r>
      <w:r w:rsidR="00FC02FB" w:rsidRPr="00841D22">
        <w:rPr>
          <w:lang w:val="fr-FR"/>
        </w:rPr>
        <w:t xml:space="preserve"> (July 26, 2017). </w:t>
      </w:r>
    </w:p>
  </w:endnote>
  <w:endnote w:id="52">
    <w:p w14:paraId="645050A4" w14:textId="66A03FED" w:rsidR="00E119F2" w:rsidRDefault="00E119F2">
      <w:pPr>
        <w:pStyle w:val="EndnoteText"/>
      </w:pPr>
      <w:r w:rsidRPr="00FC02FB">
        <w:rPr>
          <w:rStyle w:val="EndnoteReference"/>
        </w:rPr>
        <w:endnoteRef/>
      </w:r>
      <w:r w:rsidRPr="00FC02FB">
        <w:t xml:space="preserve"> </w:t>
      </w:r>
      <w:r w:rsidR="0088449F" w:rsidRPr="00FC02FB">
        <w:t>Treaty on the Functioning of the European Union, Article 72</w:t>
      </w:r>
      <w:r w:rsidR="00C210A2">
        <w:t>, 2016 O.J. (C 202/74)</w:t>
      </w:r>
      <w:r w:rsidR="003D0BB4">
        <w:t xml:space="preserve"> (EU). </w:t>
      </w:r>
    </w:p>
  </w:endnote>
  <w:endnote w:id="53">
    <w:p w14:paraId="5365D5F0" w14:textId="6F7C3891" w:rsidR="0088449F" w:rsidRPr="00841D22" w:rsidRDefault="0088449F">
      <w:pPr>
        <w:pStyle w:val="EndnoteText"/>
        <w:rPr>
          <w:lang w:val="es-ES"/>
        </w:rPr>
      </w:pPr>
      <w:r>
        <w:rPr>
          <w:rStyle w:val="EndnoteReference"/>
        </w:rPr>
        <w:endnoteRef/>
      </w:r>
      <w:r w:rsidRPr="00841D22">
        <w:rPr>
          <w:lang w:val="es-ES"/>
        </w:rPr>
        <w:t xml:space="preserve"> </w:t>
      </w:r>
      <w:proofErr w:type="spellStart"/>
      <w:r w:rsidR="00A92315" w:rsidRPr="00841D22">
        <w:rPr>
          <w:lang w:val="es-ES"/>
        </w:rPr>
        <w:t>Gesley</w:t>
      </w:r>
      <w:proofErr w:type="spellEnd"/>
      <w:r w:rsidR="00A92315" w:rsidRPr="00841D22">
        <w:rPr>
          <w:lang w:val="es-ES"/>
        </w:rPr>
        <w:t xml:space="preserve">, </w:t>
      </w:r>
      <w:r w:rsidR="00A92315" w:rsidRPr="00943E0D">
        <w:rPr>
          <w:i/>
          <w:iCs/>
          <w:lang w:val="es-ES"/>
        </w:rPr>
        <w:t>supra</w:t>
      </w:r>
      <w:r w:rsidR="00A92315" w:rsidRPr="00841D22">
        <w:rPr>
          <w:lang w:val="es-ES"/>
        </w:rPr>
        <w:t xml:space="preserve"> note </w:t>
      </w:r>
      <w:r w:rsidR="00B748A8" w:rsidRPr="00841D22">
        <w:rPr>
          <w:lang w:val="es-ES"/>
        </w:rPr>
        <w:t>4</w:t>
      </w:r>
      <w:r w:rsidR="00ED138F" w:rsidRPr="00841D22">
        <w:rPr>
          <w:lang w:val="es-ES"/>
        </w:rPr>
        <w:t>.</w:t>
      </w:r>
    </w:p>
  </w:endnote>
  <w:endnote w:id="54">
    <w:p w14:paraId="27C6F278" w14:textId="4260DAC2" w:rsidR="00D66D55" w:rsidRPr="00841D22" w:rsidRDefault="00D66D55">
      <w:pPr>
        <w:pStyle w:val="EndnoteText"/>
        <w:rPr>
          <w:lang w:val="es-ES"/>
        </w:rPr>
      </w:pPr>
      <w:r w:rsidRPr="00ED138F">
        <w:rPr>
          <w:rStyle w:val="EndnoteReference"/>
        </w:rPr>
        <w:endnoteRef/>
      </w:r>
      <w:r w:rsidRPr="00841D22">
        <w:rPr>
          <w:lang w:val="es-ES"/>
        </w:rPr>
        <w:t xml:space="preserve"> </w:t>
      </w:r>
      <w:r w:rsidR="00A92315" w:rsidRPr="00841D22">
        <w:rPr>
          <w:i/>
          <w:iCs/>
          <w:lang w:val="es-ES"/>
        </w:rPr>
        <w:t>Id</w:t>
      </w:r>
      <w:r w:rsidR="00A92315" w:rsidRPr="00841D22">
        <w:rPr>
          <w:lang w:val="es-ES"/>
        </w:rPr>
        <w:t xml:space="preserve">. </w:t>
      </w:r>
    </w:p>
  </w:endnote>
  <w:endnote w:id="55">
    <w:p w14:paraId="1C22D916" w14:textId="571FAE49" w:rsidR="008B125E" w:rsidRPr="00841D22" w:rsidRDefault="008B125E">
      <w:pPr>
        <w:pStyle w:val="EndnoteText"/>
        <w:rPr>
          <w:lang w:val="es-ES"/>
        </w:rPr>
      </w:pPr>
      <w:r>
        <w:rPr>
          <w:rStyle w:val="EndnoteReference"/>
        </w:rPr>
        <w:endnoteRef/>
      </w:r>
      <w:r w:rsidRPr="00841D22">
        <w:rPr>
          <w:lang w:val="es-ES"/>
        </w:rPr>
        <w:t xml:space="preserve"> </w:t>
      </w:r>
      <w:r w:rsidR="00B748A8" w:rsidRPr="00841D22">
        <w:rPr>
          <w:i/>
          <w:iCs/>
          <w:lang w:val="es-ES"/>
        </w:rPr>
        <w:t>Id</w:t>
      </w:r>
      <w:r w:rsidR="00B748A8" w:rsidRPr="00841D22">
        <w:rPr>
          <w:lang w:val="es-ES"/>
        </w:rPr>
        <w:t xml:space="preserve">. </w:t>
      </w:r>
    </w:p>
  </w:endnote>
  <w:endnote w:id="56">
    <w:p w14:paraId="0F2043AB" w14:textId="482306AC" w:rsidR="001D6016" w:rsidRDefault="001D6016">
      <w:pPr>
        <w:pStyle w:val="EndnoteText"/>
      </w:pPr>
      <w:r>
        <w:rPr>
          <w:rStyle w:val="EndnoteReference"/>
        </w:rPr>
        <w:endnoteRef/>
      </w:r>
      <w:r>
        <w:t xml:space="preserve"> </w:t>
      </w:r>
      <w:r w:rsidR="009B184A" w:rsidRPr="00E77904">
        <w:t>Regulation 604/2013</w:t>
      </w:r>
      <w:r w:rsidR="009B184A">
        <w:t xml:space="preserve">, </w:t>
      </w:r>
      <w:r w:rsidR="009B184A" w:rsidRPr="00943E0D">
        <w:rPr>
          <w:i/>
          <w:iCs/>
        </w:rPr>
        <w:t>supra</w:t>
      </w:r>
      <w:r w:rsidR="009B184A">
        <w:t xml:space="preserve"> note </w:t>
      </w:r>
      <w:r w:rsidR="0058770A">
        <w:t>3</w:t>
      </w:r>
      <w:r w:rsidR="009B184A">
        <w:t>.</w:t>
      </w:r>
    </w:p>
  </w:endnote>
  <w:endnote w:id="57">
    <w:p w14:paraId="64D607B1" w14:textId="797D91A6" w:rsidR="00581887" w:rsidRPr="00581887" w:rsidRDefault="00581887">
      <w:pPr>
        <w:pStyle w:val="EndnoteText"/>
      </w:pPr>
      <w:r>
        <w:rPr>
          <w:rStyle w:val="EndnoteReference"/>
        </w:rPr>
        <w:endnoteRef/>
      </w:r>
      <w:r>
        <w:t xml:space="preserve"> </w:t>
      </w:r>
      <w:r>
        <w:rPr>
          <w:i/>
          <w:iCs/>
        </w:rPr>
        <w:t>Id</w:t>
      </w:r>
      <w:r>
        <w:t xml:space="preserve">. </w:t>
      </w:r>
    </w:p>
  </w:endnote>
  <w:endnote w:id="58">
    <w:p w14:paraId="24E930CA" w14:textId="2370940A" w:rsidR="00215BFC" w:rsidRDefault="00215BFC">
      <w:pPr>
        <w:pStyle w:val="EndnoteText"/>
      </w:pPr>
      <w:r>
        <w:rPr>
          <w:rStyle w:val="EndnoteReference"/>
        </w:rPr>
        <w:endnoteRef/>
      </w:r>
      <w:r>
        <w:t xml:space="preserve"> </w:t>
      </w:r>
      <w:proofErr w:type="spellStart"/>
      <w:r w:rsidR="00491AC8">
        <w:t>Gesley</w:t>
      </w:r>
      <w:proofErr w:type="spellEnd"/>
      <w:r w:rsidR="00491AC8" w:rsidRPr="00ED138F">
        <w:t xml:space="preserve">, </w:t>
      </w:r>
      <w:r w:rsidR="00491AC8" w:rsidRPr="00943E0D">
        <w:rPr>
          <w:i/>
          <w:iCs/>
        </w:rPr>
        <w:t>supra</w:t>
      </w:r>
      <w:r w:rsidR="00491AC8" w:rsidRPr="00ED138F">
        <w:t xml:space="preserve"> note </w:t>
      </w:r>
      <w:r w:rsidR="00491AC8">
        <w:t>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517C6" w14:textId="77777777" w:rsidR="00A919D6" w:rsidRDefault="00A919D6" w:rsidP="00E250E3">
      <w:pPr>
        <w:spacing w:after="0" w:line="240" w:lineRule="auto"/>
      </w:pPr>
      <w:r>
        <w:separator/>
      </w:r>
    </w:p>
  </w:footnote>
  <w:footnote w:type="continuationSeparator" w:id="0">
    <w:p w14:paraId="7B8C5E17" w14:textId="77777777" w:rsidR="00A919D6" w:rsidRDefault="00A919D6" w:rsidP="00E25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114"/>
    <w:multiLevelType w:val="hybridMultilevel"/>
    <w:tmpl w:val="7ADCC304"/>
    <w:lvl w:ilvl="0" w:tplc="5D10C2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F44BBB"/>
    <w:multiLevelType w:val="hybridMultilevel"/>
    <w:tmpl w:val="E1785572"/>
    <w:lvl w:ilvl="0" w:tplc="5FC0D8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2A0285"/>
    <w:multiLevelType w:val="hybridMultilevel"/>
    <w:tmpl w:val="3A3A3D18"/>
    <w:lvl w:ilvl="0" w:tplc="703652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353A5"/>
    <w:multiLevelType w:val="hybridMultilevel"/>
    <w:tmpl w:val="06ECF638"/>
    <w:lvl w:ilvl="0" w:tplc="8474C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140489">
    <w:abstractNumId w:val="2"/>
  </w:num>
  <w:num w:numId="2" w16cid:durableId="172503030">
    <w:abstractNumId w:val="1"/>
  </w:num>
  <w:num w:numId="3" w16cid:durableId="427390621">
    <w:abstractNumId w:val="0"/>
  </w:num>
  <w:num w:numId="4" w16cid:durableId="1628075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B0"/>
    <w:rsid w:val="00001BEF"/>
    <w:rsid w:val="00005F57"/>
    <w:rsid w:val="00014CA7"/>
    <w:rsid w:val="000157D3"/>
    <w:rsid w:val="00026BFB"/>
    <w:rsid w:val="00026FA3"/>
    <w:rsid w:val="0003442D"/>
    <w:rsid w:val="00034B59"/>
    <w:rsid w:val="00042D13"/>
    <w:rsid w:val="00050177"/>
    <w:rsid w:val="0005144C"/>
    <w:rsid w:val="0005576A"/>
    <w:rsid w:val="000646A4"/>
    <w:rsid w:val="0007240B"/>
    <w:rsid w:val="00072900"/>
    <w:rsid w:val="00076A80"/>
    <w:rsid w:val="00095C40"/>
    <w:rsid w:val="000B4A82"/>
    <w:rsid w:val="000B66F8"/>
    <w:rsid w:val="000C7A54"/>
    <w:rsid w:val="000D24B7"/>
    <w:rsid w:val="000E1CED"/>
    <w:rsid w:val="000E316C"/>
    <w:rsid w:val="000E3D45"/>
    <w:rsid w:val="000E62BE"/>
    <w:rsid w:val="000F45F4"/>
    <w:rsid w:val="000F6771"/>
    <w:rsid w:val="00100F18"/>
    <w:rsid w:val="00111D2D"/>
    <w:rsid w:val="00114E93"/>
    <w:rsid w:val="00115374"/>
    <w:rsid w:val="001167B9"/>
    <w:rsid w:val="001266FD"/>
    <w:rsid w:val="00126F38"/>
    <w:rsid w:val="001360BE"/>
    <w:rsid w:val="0015005B"/>
    <w:rsid w:val="00151DCE"/>
    <w:rsid w:val="001524F9"/>
    <w:rsid w:val="0015686A"/>
    <w:rsid w:val="0016741C"/>
    <w:rsid w:val="0017217A"/>
    <w:rsid w:val="00173AB7"/>
    <w:rsid w:val="00176FBF"/>
    <w:rsid w:val="0018559F"/>
    <w:rsid w:val="001921EE"/>
    <w:rsid w:val="001929E8"/>
    <w:rsid w:val="00194327"/>
    <w:rsid w:val="00195F29"/>
    <w:rsid w:val="001A45AB"/>
    <w:rsid w:val="001C013B"/>
    <w:rsid w:val="001D6016"/>
    <w:rsid w:val="001E289E"/>
    <w:rsid w:val="00207674"/>
    <w:rsid w:val="00215BFC"/>
    <w:rsid w:val="0021766B"/>
    <w:rsid w:val="00217A4F"/>
    <w:rsid w:val="00233D25"/>
    <w:rsid w:val="00242754"/>
    <w:rsid w:val="002457E0"/>
    <w:rsid w:val="002459D0"/>
    <w:rsid w:val="00256500"/>
    <w:rsid w:val="00256A36"/>
    <w:rsid w:val="00256D1E"/>
    <w:rsid w:val="0026668B"/>
    <w:rsid w:val="00267E95"/>
    <w:rsid w:val="00280CB0"/>
    <w:rsid w:val="002811B8"/>
    <w:rsid w:val="002815C1"/>
    <w:rsid w:val="00283C07"/>
    <w:rsid w:val="002961D4"/>
    <w:rsid w:val="002A03EF"/>
    <w:rsid w:val="002A28BC"/>
    <w:rsid w:val="002A4A52"/>
    <w:rsid w:val="002B40A0"/>
    <w:rsid w:val="002B5E5D"/>
    <w:rsid w:val="002C0543"/>
    <w:rsid w:val="002C6613"/>
    <w:rsid w:val="002E2678"/>
    <w:rsid w:val="002E4DA7"/>
    <w:rsid w:val="002E729A"/>
    <w:rsid w:val="002F407E"/>
    <w:rsid w:val="002F4AC3"/>
    <w:rsid w:val="002F5273"/>
    <w:rsid w:val="002F5A06"/>
    <w:rsid w:val="00307AB9"/>
    <w:rsid w:val="00315E06"/>
    <w:rsid w:val="00331656"/>
    <w:rsid w:val="00336FC1"/>
    <w:rsid w:val="0033715F"/>
    <w:rsid w:val="003400B7"/>
    <w:rsid w:val="00340DB4"/>
    <w:rsid w:val="0036357C"/>
    <w:rsid w:val="0037206A"/>
    <w:rsid w:val="003767FF"/>
    <w:rsid w:val="003913F0"/>
    <w:rsid w:val="00394336"/>
    <w:rsid w:val="003A3283"/>
    <w:rsid w:val="003B0E47"/>
    <w:rsid w:val="003B5F0D"/>
    <w:rsid w:val="003B6A13"/>
    <w:rsid w:val="003C5EFB"/>
    <w:rsid w:val="003D0BB4"/>
    <w:rsid w:val="003D5739"/>
    <w:rsid w:val="003D7AE1"/>
    <w:rsid w:val="003E6C7C"/>
    <w:rsid w:val="003F1D0D"/>
    <w:rsid w:val="003F2543"/>
    <w:rsid w:val="003F74CC"/>
    <w:rsid w:val="00402150"/>
    <w:rsid w:val="00403FF8"/>
    <w:rsid w:val="0041549B"/>
    <w:rsid w:val="004356A8"/>
    <w:rsid w:val="004426D8"/>
    <w:rsid w:val="00443703"/>
    <w:rsid w:val="00450211"/>
    <w:rsid w:val="00482A23"/>
    <w:rsid w:val="00491AC8"/>
    <w:rsid w:val="00492BC0"/>
    <w:rsid w:val="00493829"/>
    <w:rsid w:val="00493CC7"/>
    <w:rsid w:val="00497397"/>
    <w:rsid w:val="004A354E"/>
    <w:rsid w:val="004A4971"/>
    <w:rsid w:val="004B3081"/>
    <w:rsid w:val="004C2874"/>
    <w:rsid w:val="004D2F04"/>
    <w:rsid w:val="004E2DAC"/>
    <w:rsid w:val="004E750A"/>
    <w:rsid w:val="004F253A"/>
    <w:rsid w:val="00511150"/>
    <w:rsid w:val="00517937"/>
    <w:rsid w:val="0052358B"/>
    <w:rsid w:val="0052496D"/>
    <w:rsid w:val="00533A12"/>
    <w:rsid w:val="00551D5C"/>
    <w:rsid w:val="00552B7C"/>
    <w:rsid w:val="00556F4C"/>
    <w:rsid w:val="00560460"/>
    <w:rsid w:val="005663BD"/>
    <w:rsid w:val="00566700"/>
    <w:rsid w:val="00572AC7"/>
    <w:rsid w:val="00581887"/>
    <w:rsid w:val="00581C7C"/>
    <w:rsid w:val="005847D9"/>
    <w:rsid w:val="005849D7"/>
    <w:rsid w:val="0058770A"/>
    <w:rsid w:val="005933A5"/>
    <w:rsid w:val="00594764"/>
    <w:rsid w:val="005B035A"/>
    <w:rsid w:val="005B154F"/>
    <w:rsid w:val="005B3BCA"/>
    <w:rsid w:val="005C3600"/>
    <w:rsid w:val="005C377E"/>
    <w:rsid w:val="005C3F9E"/>
    <w:rsid w:val="005C6D25"/>
    <w:rsid w:val="005D0E5E"/>
    <w:rsid w:val="005E4509"/>
    <w:rsid w:val="005F09B5"/>
    <w:rsid w:val="005F7BD8"/>
    <w:rsid w:val="00603B5E"/>
    <w:rsid w:val="00612546"/>
    <w:rsid w:val="00612F0D"/>
    <w:rsid w:val="006205B9"/>
    <w:rsid w:val="00624A0E"/>
    <w:rsid w:val="0063760B"/>
    <w:rsid w:val="006429DD"/>
    <w:rsid w:val="00664AE8"/>
    <w:rsid w:val="00665140"/>
    <w:rsid w:val="0067095E"/>
    <w:rsid w:val="00682F6C"/>
    <w:rsid w:val="006844B5"/>
    <w:rsid w:val="006A2DF9"/>
    <w:rsid w:val="006A461D"/>
    <w:rsid w:val="006A4798"/>
    <w:rsid w:val="006B7F2E"/>
    <w:rsid w:val="006C192E"/>
    <w:rsid w:val="006C31E2"/>
    <w:rsid w:val="006D4A6D"/>
    <w:rsid w:val="006D645E"/>
    <w:rsid w:val="006E38D3"/>
    <w:rsid w:val="006E40E0"/>
    <w:rsid w:val="006F0187"/>
    <w:rsid w:val="006F7542"/>
    <w:rsid w:val="007029FB"/>
    <w:rsid w:val="00722EC6"/>
    <w:rsid w:val="0072639A"/>
    <w:rsid w:val="00734F87"/>
    <w:rsid w:val="0073734A"/>
    <w:rsid w:val="007468D2"/>
    <w:rsid w:val="00747891"/>
    <w:rsid w:val="0076218B"/>
    <w:rsid w:val="0076317E"/>
    <w:rsid w:val="00766A63"/>
    <w:rsid w:val="00771292"/>
    <w:rsid w:val="00773F6C"/>
    <w:rsid w:val="007759C2"/>
    <w:rsid w:val="007807F8"/>
    <w:rsid w:val="007817CB"/>
    <w:rsid w:val="007852EB"/>
    <w:rsid w:val="00786823"/>
    <w:rsid w:val="007A0446"/>
    <w:rsid w:val="007B3B52"/>
    <w:rsid w:val="007D4198"/>
    <w:rsid w:val="007E6226"/>
    <w:rsid w:val="007E7161"/>
    <w:rsid w:val="007F4BF4"/>
    <w:rsid w:val="0080450D"/>
    <w:rsid w:val="008108C7"/>
    <w:rsid w:val="00817115"/>
    <w:rsid w:val="00821BF6"/>
    <w:rsid w:val="00827268"/>
    <w:rsid w:val="00841D22"/>
    <w:rsid w:val="0085213C"/>
    <w:rsid w:val="0085390F"/>
    <w:rsid w:val="00853A54"/>
    <w:rsid w:val="00854448"/>
    <w:rsid w:val="00855FDD"/>
    <w:rsid w:val="0086304D"/>
    <w:rsid w:val="00872386"/>
    <w:rsid w:val="008741B0"/>
    <w:rsid w:val="00875494"/>
    <w:rsid w:val="008840CE"/>
    <w:rsid w:val="0088449F"/>
    <w:rsid w:val="008A12C9"/>
    <w:rsid w:val="008A5AD3"/>
    <w:rsid w:val="008B0322"/>
    <w:rsid w:val="008B125E"/>
    <w:rsid w:val="008C379E"/>
    <w:rsid w:val="008D27F7"/>
    <w:rsid w:val="008D4662"/>
    <w:rsid w:val="008D73B3"/>
    <w:rsid w:val="008D73EB"/>
    <w:rsid w:val="008D7AB7"/>
    <w:rsid w:val="008E4D86"/>
    <w:rsid w:val="008E52D9"/>
    <w:rsid w:val="008E6474"/>
    <w:rsid w:val="008F02F2"/>
    <w:rsid w:val="008F73FC"/>
    <w:rsid w:val="0090451A"/>
    <w:rsid w:val="009072FF"/>
    <w:rsid w:val="00927361"/>
    <w:rsid w:val="00941190"/>
    <w:rsid w:val="00941F7C"/>
    <w:rsid w:val="00943E0D"/>
    <w:rsid w:val="00945518"/>
    <w:rsid w:val="0094735D"/>
    <w:rsid w:val="009511F0"/>
    <w:rsid w:val="00962EC5"/>
    <w:rsid w:val="0098153F"/>
    <w:rsid w:val="009959C8"/>
    <w:rsid w:val="00997348"/>
    <w:rsid w:val="0099759E"/>
    <w:rsid w:val="009A7DF0"/>
    <w:rsid w:val="009B0FE8"/>
    <w:rsid w:val="009B184A"/>
    <w:rsid w:val="009C0690"/>
    <w:rsid w:val="009C225C"/>
    <w:rsid w:val="009C6BF5"/>
    <w:rsid w:val="009C6DB0"/>
    <w:rsid w:val="009C7919"/>
    <w:rsid w:val="009E0280"/>
    <w:rsid w:val="009E08E1"/>
    <w:rsid w:val="009F1CB0"/>
    <w:rsid w:val="009F35B3"/>
    <w:rsid w:val="00A003A2"/>
    <w:rsid w:val="00A01299"/>
    <w:rsid w:val="00A45DA6"/>
    <w:rsid w:val="00A47518"/>
    <w:rsid w:val="00A65676"/>
    <w:rsid w:val="00A6631F"/>
    <w:rsid w:val="00A6681A"/>
    <w:rsid w:val="00A722CC"/>
    <w:rsid w:val="00A7631B"/>
    <w:rsid w:val="00A77EFE"/>
    <w:rsid w:val="00A808C7"/>
    <w:rsid w:val="00A84BE0"/>
    <w:rsid w:val="00A87528"/>
    <w:rsid w:val="00A87FCE"/>
    <w:rsid w:val="00A919D6"/>
    <w:rsid w:val="00A92315"/>
    <w:rsid w:val="00AA236F"/>
    <w:rsid w:val="00AA6572"/>
    <w:rsid w:val="00AB2E2B"/>
    <w:rsid w:val="00AB422C"/>
    <w:rsid w:val="00AC2E58"/>
    <w:rsid w:val="00AD520F"/>
    <w:rsid w:val="00AD7D69"/>
    <w:rsid w:val="00AE541B"/>
    <w:rsid w:val="00AE65C3"/>
    <w:rsid w:val="00AF39C5"/>
    <w:rsid w:val="00AF4064"/>
    <w:rsid w:val="00AF524C"/>
    <w:rsid w:val="00B0006F"/>
    <w:rsid w:val="00B038CD"/>
    <w:rsid w:val="00B137A3"/>
    <w:rsid w:val="00B2121E"/>
    <w:rsid w:val="00B267F2"/>
    <w:rsid w:val="00B30A39"/>
    <w:rsid w:val="00B373C1"/>
    <w:rsid w:val="00B37BB4"/>
    <w:rsid w:val="00B456A9"/>
    <w:rsid w:val="00B5194F"/>
    <w:rsid w:val="00B54218"/>
    <w:rsid w:val="00B554AD"/>
    <w:rsid w:val="00B57DB7"/>
    <w:rsid w:val="00B64174"/>
    <w:rsid w:val="00B725E2"/>
    <w:rsid w:val="00B748A8"/>
    <w:rsid w:val="00B80CDA"/>
    <w:rsid w:val="00B87E6A"/>
    <w:rsid w:val="00B918CF"/>
    <w:rsid w:val="00B91A36"/>
    <w:rsid w:val="00B94B15"/>
    <w:rsid w:val="00B97847"/>
    <w:rsid w:val="00B97DF0"/>
    <w:rsid w:val="00BB22C7"/>
    <w:rsid w:val="00BD523B"/>
    <w:rsid w:val="00BD54A3"/>
    <w:rsid w:val="00BD6DA3"/>
    <w:rsid w:val="00BE47B8"/>
    <w:rsid w:val="00BE5525"/>
    <w:rsid w:val="00BF1614"/>
    <w:rsid w:val="00BF27C9"/>
    <w:rsid w:val="00C0416E"/>
    <w:rsid w:val="00C210A2"/>
    <w:rsid w:val="00C252E3"/>
    <w:rsid w:val="00C52E25"/>
    <w:rsid w:val="00C5778B"/>
    <w:rsid w:val="00C60E12"/>
    <w:rsid w:val="00C62664"/>
    <w:rsid w:val="00C667B6"/>
    <w:rsid w:val="00CA0927"/>
    <w:rsid w:val="00CA59DB"/>
    <w:rsid w:val="00CA6B38"/>
    <w:rsid w:val="00CB30A0"/>
    <w:rsid w:val="00CC5C29"/>
    <w:rsid w:val="00CD2C62"/>
    <w:rsid w:val="00CD512A"/>
    <w:rsid w:val="00CD68D5"/>
    <w:rsid w:val="00CD7961"/>
    <w:rsid w:val="00CE7C24"/>
    <w:rsid w:val="00CF02B2"/>
    <w:rsid w:val="00CF479C"/>
    <w:rsid w:val="00D03B05"/>
    <w:rsid w:val="00D14EF3"/>
    <w:rsid w:val="00D22BE1"/>
    <w:rsid w:val="00D31CA9"/>
    <w:rsid w:val="00D32E6E"/>
    <w:rsid w:val="00D43941"/>
    <w:rsid w:val="00D66926"/>
    <w:rsid w:val="00D66D55"/>
    <w:rsid w:val="00D7094B"/>
    <w:rsid w:val="00D738D1"/>
    <w:rsid w:val="00D74E0A"/>
    <w:rsid w:val="00D80762"/>
    <w:rsid w:val="00D879D2"/>
    <w:rsid w:val="00D92512"/>
    <w:rsid w:val="00D9583B"/>
    <w:rsid w:val="00D96994"/>
    <w:rsid w:val="00DA7A4A"/>
    <w:rsid w:val="00DB3675"/>
    <w:rsid w:val="00DB3C4D"/>
    <w:rsid w:val="00DB55C6"/>
    <w:rsid w:val="00DC1214"/>
    <w:rsid w:val="00DC7E3B"/>
    <w:rsid w:val="00DD7BA5"/>
    <w:rsid w:val="00DE1FDD"/>
    <w:rsid w:val="00DE24DA"/>
    <w:rsid w:val="00DE3B43"/>
    <w:rsid w:val="00DE5CE1"/>
    <w:rsid w:val="00DE6524"/>
    <w:rsid w:val="00E01B7F"/>
    <w:rsid w:val="00E02C42"/>
    <w:rsid w:val="00E06AA3"/>
    <w:rsid w:val="00E119F2"/>
    <w:rsid w:val="00E250E3"/>
    <w:rsid w:val="00E36297"/>
    <w:rsid w:val="00E40362"/>
    <w:rsid w:val="00E40AD5"/>
    <w:rsid w:val="00E426F2"/>
    <w:rsid w:val="00E454FD"/>
    <w:rsid w:val="00E5213F"/>
    <w:rsid w:val="00E52782"/>
    <w:rsid w:val="00E63E8E"/>
    <w:rsid w:val="00E655F4"/>
    <w:rsid w:val="00E67292"/>
    <w:rsid w:val="00E7169C"/>
    <w:rsid w:val="00E73F26"/>
    <w:rsid w:val="00E758E1"/>
    <w:rsid w:val="00E77904"/>
    <w:rsid w:val="00EA2AE4"/>
    <w:rsid w:val="00ED138F"/>
    <w:rsid w:val="00ED5C94"/>
    <w:rsid w:val="00ED719A"/>
    <w:rsid w:val="00EE0CEC"/>
    <w:rsid w:val="00EF4063"/>
    <w:rsid w:val="00EF4669"/>
    <w:rsid w:val="00EF59C4"/>
    <w:rsid w:val="00EF5D95"/>
    <w:rsid w:val="00EF6881"/>
    <w:rsid w:val="00F03DD6"/>
    <w:rsid w:val="00F10137"/>
    <w:rsid w:val="00F146CF"/>
    <w:rsid w:val="00F24BE6"/>
    <w:rsid w:val="00F24E36"/>
    <w:rsid w:val="00F25335"/>
    <w:rsid w:val="00F26FF9"/>
    <w:rsid w:val="00F3432F"/>
    <w:rsid w:val="00F36ED2"/>
    <w:rsid w:val="00F40423"/>
    <w:rsid w:val="00F529BF"/>
    <w:rsid w:val="00F557E4"/>
    <w:rsid w:val="00F5700E"/>
    <w:rsid w:val="00F64B3D"/>
    <w:rsid w:val="00F6621E"/>
    <w:rsid w:val="00F70E2C"/>
    <w:rsid w:val="00F805FF"/>
    <w:rsid w:val="00F831A9"/>
    <w:rsid w:val="00F87ADA"/>
    <w:rsid w:val="00F95DD4"/>
    <w:rsid w:val="00FA0780"/>
    <w:rsid w:val="00FA204F"/>
    <w:rsid w:val="00FA6B02"/>
    <w:rsid w:val="00FC02FB"/>
    <w:rsid w:val="00FC2A14"/>
    <w:rsid w:val="00FD41C1"/>
    <w:rsid w:val="00FD4745"/>
    <w:rsid w:val="00FD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0BEB"/>
  <w15:chartTrackingRefBased/>
  <w15:docId w15:val="{D064C11A-ACB8-D948-A12E-8C828861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C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C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1C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1C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1C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1C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1C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C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C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1C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1C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1C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1C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1C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1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C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C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1CB0"/>
    <w:pPr>
      <w:spacing w:before="160"/>
      <w:jc w:val="center"/>
    </w:pPr>
    <w:rPr>
      <w:i/>
      <w:iCs/>
      <w:color w:val="404040" w:themeColor="text1" w:themeTint="BF"/>
    </w:rPr>
  </w:style>
  <w:style w:type="character" w:customStyle="1" w:styleId="QuoteChar">
    <w:name w:val="Quote Char"/>
    <w:basedOn w:val="DefaultParagraphFont"/>
    <w:link w:val="Quote"/>
    <w:uiPriority w:val="29"/>
    <w:rsid w:val="009F1CB0"/>
    <w:rPr>
      <w:i/>
      <w:iCs/>
      <w:color w:val="404040" w:themeColor="text1" w:themeTint="BF"/>
    </w:rPr>
  </w:style>
  <w:style w:type="paragraph" w:styleId="ListParagraph">
    <w:name w:val="List Paragraph"/>
    <w:basedOn w:val="Normal"/>
    <w:uiPriority w:val="34"/>
    <w:qFormat/>
    <w:rsid w:val="009F1CB0"/>
    <w:pPr>
      <w:ind w:left="720"/>
      <w:contextualSpacing/>
    </w:pPr>
  </w:style>
  <w:style w:type="character" w:styleId="IntenseEmphasis">
    <w:name w:val="Intense Emphasis"/>
    <w:basedOn w:val="DefaultParagraphFont"/>
    <w:uiPriority w:val="21"/>
    <w:qFormat/>
    <w:rsid w:val="009F1CB0"/>
    <w:rPr>
      <w:i/>
      <w:iCs/>
      <w:color w:val="0F4761" w:themeColor="accent1" w:themeShade="BF"/>
    </w:rPr>
  </w:style>
  <w:style w:type="paragraph" w:styleId="IntenseQuote">
    <w:name w:val="Intense Quote"/>
    <w:basedOn w:val="Normal"/>
    <w:next w:val="Normal"/>
    <w:link w:val="IntenseQuoteChar"/>
    <w:uiPriority w:val="30"/>
    <w:qFormat/>
    <w:rsid w:val="009F1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CB0"/>
    <w:rPr>
      <w:i/>
      <w:iCs/>
      <w:color w:val="0F4761" w:themeColor="accent1" w:themeShade="BF"/>
    </w:rPr>
  </w:style>
  <w:style w:type="character" w:styleId="IntenseReference">
    <w:name w:val="Intense Reference"/>
    <w:basedOn w:val="DefaultParagraphFont"/>
    <w:uiPriority w:val="32"/>
    <w:qFormat/>
    <w:rsid w:val="009F1CB0"/>
    <w:rPr>
      <w:b/>
      <w:bCs/>
      <w:smallCaps/>
      <w:color w:val="0F4761" w:themeColor="accent1" w:themeShade="BF"/>
      <w:spacing w:val="5"/>
    </w:rPr>
  </w:style>
  <w:style w:type="paragraph" w:styleId="EndnoteText">
    <w:name w:val="endnote text"/>
    <w:basedOn w:val="Normal"/>
    <w:link w:val="EndnoteTextChar"/>
    <w:uiPriority w:val="99"/>
    <w:unhideWhenUsed/>
    <w:rsid w:val="00551D5C"/>
    <w:pPr>
      <w:spacing w:after="0" w:line="240" w:lineRule="auto"/>
    </w:pPr>
    <w:rPr>
      <w:sz w:val="20"/>
      <w:szCs w:val="20"/>
    </w:rPr>
  </w:style>
  <w:style w:type="character" w:customStyle="1" w:styleId="EndnoteTextChar">
    <w:name w:val="Endnote Text Char"/>
    <w:basedOn w:val="DefaultParagraphFont"/>
    <w:link w:val="EndnoteText"/>
    <w:uiPriority w:val="99"/>
    <w:rsid w:val="00E250E3"/>
    <w:rPr>
      <w:sz w:val="20"/>
      <w:szCs w:val="20"/>
    </w:rPr>
  </w:style>
  <w:style w:type="character" w:styleId="EndnoteReference">
    <w:name w:val="endnote reference"/>
    <w:basedOn w:val="DefaultParagraphFont"/>
    <w:uiPriority w:val="99"/>
    <w:semiHidden/>
    <w:unhideWhenUsed/>
    <w:rsid w:val="00E250E3"/>
    <w:rPr>
      <w:vertAlign w:val="superscript"/>
    </w:rPr>
  </w:style>
  <w:style w:type="character" w:styleId="Hyperlink">
    <w:name w:val="Hyperlink"/>
    <w:basedOn w:val="DefaultParagraphFont"/>
    <w:uiPriority w:val="99"/>
    <w:unhideWhenUsed/>
    <w:rsid w:val="004356A8"/>
    <w:rPr>
      <w:color w:val="467886" w:themeColor="hyperlink"/>
      <w:u w:val="single"/>
    </w:rPr>
  </w:style>
  <w:style w:type="character" w:styleId="UnresolvedMention">
    <w:name w:val="Unresolved Mention"/>
    <w:basedOn w:val="DefaultParagraphFont"/>
    <w:uiPriority w:val="99"/>
    <w:semiHidden/>
    <w:unhideWhenUsed/>
    <w:rsid w:val="004356A8"/>
    <w:rPr>
      <w:color w:val="605E5C"/>
      <w:shd w:val="clear" w:color="auto" w:fill="E1DFDD"/>
    </w:rPr>
  </w:style>
  <w:style w:type="paragraph" w:styleId="FootnoteText">
    <w:name w:val="footnote text"/>
    <w:basedOn w:val="Normal"/>
    <w:link w:val="FootnoteTextChar"/>
    <w:uiPriority w:val="99"/>
    <w:semiHidden/>
    <w:unhideWhenUsed/>
    <w:rsid w:val="00F52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29BF"/>
    <w:rPr>
      <w:sz w:val="20"/>
      <w:szCs w:val="20"/>
    </w:rPr>
  </w:style>
  <w:style w:type="character" w:styleId="FootnoteReference">
    <w:name w:val="footnote reference"/>
    <w:basedOn w:val="DefaultParagraphFont"/>
    <w:uiPriority w:val="99"/>
    <w:semiHidden/>
    <w:unhideWhenUsed/>
    <w:rsid w:val="00F529BF"/>
    <w:rPr>
      <w:vertAlign w:val="superscript"/>
    </w:rPr>
  </w:style>
  <w:style w:type="character" w:styleId="FollowedHyperlink">
    <w:name w:val="FollowedHyperlink"/>
    <w:basedOn w:val="DefaultParagraphFont"/>
    <w:uiPriority w:val="99"/>
    <w:semiHidden/>
    <w:unhideWhenUsed/>
    <w:rsid w:val="00853A54"/>
    <w:rPr>
      <w:color w:val="96607D" w:themeColor="followedHyperlink"/>
      <w:u w:val="single"/>
    </w:rPr>
  </w:style>
  <w:style w:type="paragraph" w:customStyle="1" w:styleId="p1">
    <w:name w:val="p1"/>
    <w:basedOn w:val="Normal"/>
    <w:rsid w:val="002457E0"/>
    <w:pPr>
      <w:spacing w:after="0" w:line="240" w:lineRule="auto"/>
    </w:pPr>
    <w:rPr>
      <w:rFonts w:ascii="Helvetica" w:eastAsia="Times New Roman" w:hAnsi="Helvetica"/>
      <w:color w:val="262626"/>
      <w:kern w:val="0"/>
      <w:sz w:val="20"/>
      <w:szCs w:val="20"/>
      <w14:ligatures w14:val="none"/>
    </w:rPr>
  </w:style>
  <w:style w:type="character" w:styleId="CommentReference">
    <w:name w:val="annotation reference"/>
    <w:basedOn w:val="DefaultParagraphFont"/>
    <w:uiPriority w:val="99"/>
    <w:semiHidden/>
    <w:unhideWhenUsed/>
    <w:rsid w:val="00841D22"/>
    <w:rPr>
      <w:sz w:val="16"/>
      <w:szCs w:val="16"/>
    </w:rPr>
  </w:style>
  <w:style w:type="paragraph" w:styleId="CommentText">
    <w:name w:val="annotation text"/>
    <w:basedOn w:val="Normal"/>
    <w:link w:val="CommentTextChar"/>
    <w:uiPriority w:val="99"/>
    <w:unhideWhenUsed/>
    <w:rsid w:val="00841D22"/>
    <w:pPr>
      <w:spacing w:line="240" w:lineRule="auto"/>
    </w:pPr>
    <w:rPr>
      <w:sz w:val="20"/>
      <w:szCs w:val="20"/>
    </w:rPr>
  </w:style>
  <w:style w:type="character" w:customStyle="1" w:styleId="CommentTextChar">
    <w:name w:val="Comment Text Char"/>
    <w:basedOn w:val="DefaultParagraphFont"/>
    <w:link w:val="CommentText"/>
    <w:uiPriority w:val="99"/>
    <w:rsid w:val="00841D22"/>
    <w:rPr>
      <w:sz w:val="20"/>
      <w:szCs w:val="20"/>
    </w:rPr>
  </w:style>
  <w:style w:type="paragraph" w:styleId="CommentSubject">
    <w:name w:val="annotation subject"/>
    <w:basedOn w:val="CommentText"/>
    <w:next w:val="CommentText"/>
    <w:link w:val="CommentSubjectChar"/>
    <w:uiPriority w:val="99"/>
    <w:semiHidden/>
    <w:unhideWhenUsed/>
    <w:rsid w:val="00841D22"/>
    <w:rPr>
      <w:b/>
      <w:bCs/>
    </w:rPr>
  </w:style>
  <w:style w:type="character" w:customStyle="1" w:styleId="CommentSubjectChar">
    <w:name w:val="Comment Subject Char"/>
    <w:basedOn w:val="CommentTextChar"/>
    <w:link w:val="CommentSubject"/>
    <w:uiPriority w:val="99"/>
    <w:semiHidden/>
    <w:rsid w:val="00841D22"/>
    <w:rPr>
      <w:b/>
      <w:bCs/>
      <w:sz w:val="20"/>
      <w:szCs w:val="20"/>
    </w:rPr>
  </w:style>
  <w:style w:type="paragraph" w:styleId="Revision">
    <w:name w:val="Revision"/>
    <w:hidden/>
    <w:uiPriority w:val="99"/>
    <w:semiHidden/>
    <w:rsid w:val="00841D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96505-2E44-DB46-915D-A6CF7C20B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Carver</dc:creator>
  <cp:keywords/>
  <dc:description/>
  <cp:lastModifiedBy>Allison Semadeni</cp:lastModifiedBy>
  <cp:revision>51</cp:revision>
  <dcterms:created xsi:type="dcterms:W3CDTF">2025-10-26T15:21:00Z</dcterms:created>
  <dcterms:modified xsi:type="dcterms:W3CDTF">2025-11-17T15:09:00Z</dcterms:modified>
</cp:coreProperties>
</file>