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7028" w14:textId="03062144" w:rsidR="009144F8" w:rsidRPr="00ED64B6" w:rsidRDefault="006E47CF">
      <w:pPr>
        <w:rPr>
          <w:b/>
          <w:bCs/>
          <w:u w:val="single"/>
        </w:rPr>
      </w:pPr>
      <w:r w:rsidRPr="00ED64B6">
        <w:rPr>
          <w:b/>
          <w:bCs/>
          <w:u w:val="single"/>
        </w:rPr>
        <w:t xml:space="preserve">The race to regulate AI – </w:t>
      </w:r>
      <w:r w:rsidR="003B0DB2" w:rsidRPr="00ED64B6">
        <w:rPr>
          <w:b/>
          <w:bCs/>
          <w:u w:val="single"/>
        </w:rPr>
        <w:t>W</w:t>
      </w:r>
      <w:r w:rsidRPr="00ED64B6">
        <w:rPr>
          <w:b/>
          <w:bCs/>
          <w:u w:val="single"/>
        </w:rPr>
        <w:t xml:space="preserve">ill the </w:t>
      </w:r>
      <w:r w:rsidR="003B0DB2" w:rsidRPr="00ED64B6">
        <w:rPr>
          <w:b/>
          <w:bCs/>
          <w:u w:val="single"/>
        </w:rPr>
        <w:t xml:space="preserve">Hiroshima AI Process or the </w:t>
      </w:r>
      <w:r w:rsidR="00660AA6" w:rsidRPr="00ED64B6">
        <w:rPr>
          <w:b/>
          <w:bCs/>
          <w:u w:val="single"/>
        </w:rPr>
        <w:t>Bletchley Declaration</w:t>
      </w:r>
      <w:r w:rsidRPr="00ED64B6">
        <w:rPr>
          <w:b/>
          <w:bCs/>
          <w:u w:val="single"/>
        </w:rPr>
        <w:t xml:space="preserve"> lead the way towards an international agreement? </w:t>
      </w:r>
    </w:p>
    <w:p w14:paraId="19502301" w14:textId="77777777" w:rsidR="00660AA6" w:rsidRDefault="00660AA6"/>
    <w:p w14:paraId="0D1C6A5F" w14:textId="3E810425" w:rsidR="00660AA6" w:rsidRDefault="00660AA6">
      <w:r>
        <w:t>Artificial Intelligence (AI) has undergone steady growth over the last few decades, with AI programs being incorporated in a gamut of applications, ranging from speech recognition to rovers for space exploration.</w:t>
      </w:r>
      <w:r>
        <w:rPr>
          <w:rStyle w:val="EndnoteReference"/>
        </w:rPr>
        <w:endnoteReference w:id="1"/>
      </w:r>
      <w:r>
        <w:t xml:space="preserve">  However, AI has only recently captured the general public’s imagination with the advent of publicly available generative AI tools such as </w:t>
      </w:r>
      <w:proofErr w:type="spellStart"/>
      <w:r>
        <w:t>ChatGPT</w:t>
      </w:r>
      <w:proofErr w:type="spellEnd"/>
      <w:r>
        <w:t xml:space="preserve"> (“</w:t>
      </w:r>
      <w:r w:rsidRPr="00660AA6">
        <w:t>Chat Generative Pre-trained Transformer</w:t>
      </w:r>
      <w:r>
        <w:t xml:space="preserve">”), first built by </w:t>
      </w:r>
      <w:proofErr w:type="spellStart"/>
      <w:r w:rsidRPr="00660AA6">
        <w:t>OpenAI</w:t>
      </w:r>
      <w:proofErr w:type="spellEnd"/>
      <w:r w:rsidRPr="00660AA6">
        <w:t xml:space="preserve"> in 2018</w:t>
      </w:r>
      <w:r>
        <w:t>.</w:t>
      </w:r>
      <w:r>
        <w:rPr>
          <w:rStyle w:val="EndnoteReference"/>
        </w:rPr>
        <w:endnoteReference w:id="2"/>
      </w:r>
      <w:r>
        <w:t xml:space="preserve">  The current state generative AI is ripe for governmental oversight and/or legal regulation to protect Intellectual Property where AI learning models are devouring 3</w:t>
      </w:r>
      <w:r w:rsidRPr="00660AA6">
        <w:rPr>
          <w:vertAlign w:val="superscript"/>
        </w:rPr>
        <w:t>rd</w:t>
      </w:r>
      <w:r>
        <w:t xml:space="preserve"> party work products for training purposes, and safeguard employment in sectors where generative AI is likely to be most disruptive.</w:t>
      </w:r>
      <w:r>
        <w:rPr>
          <w:rStyle w:val="EndnoteReference"/>
        </w:rPr>
        <w:endnoteReference w:id="3"/>
      </w:r>
      <w:r>
        <w:t xml:space="preserve">  </w:t>
      </w:r>
    </w:p>
    <w:p w14:paraId="5184EBDF" w14:textId="7E84B9C5" w:rsidR="00660AA6" w:rsidRDefault="00660AA6"/>
    <w:p w14:paraId="7DEA267B" w14:textId="04CCDEC7" w:rsidR="003B0DB2" w:rsidRDefault="003B0DB2" w:rsidP="003B0DB2">
      <w:r>
        <w:t>The G7 (</w:t>
      </w:r>
      <w:r w:rsidRPr="003B0DB2">
        <w:t>Group of Seven</w:t>
      </w:r>
      <w:r>
        <w:t>) countries</w:t>
      </w:r>
      <w:r w:rsidR="009D0F9C">
        <w:rPr>
          <w:rStyle w:val="EndnoteReference"/>
        </w:rPr>
        <w:endnoteReference w:id="4"/>
      </w:r>
      <w:r>
        <w:t xml:space="preserve"> developed “</w:t>
      </w:r>
      <w:r w:rsidRPr="003B0DB2">
        <w:t>Hiroshima AI Process</w:t>
      </w:r>
      <w:r>
        <w:t>” directed to an</w:t>
      </w:r>
    </w:p>
    <w:p w14:paraId="1AD327AF" w14:textId="7488A99C" w:rsidR="003B0DB2" w:rsidRDefault="003B0DB2" w:rsidP="003B0DB2">
      <w:r w:rsidRPr="003B0DB2">
        <w:t>agreement on a set of</w:t>
      </w:r>
      <w:r w:rsidR="00ED64B6">
        <w:t xml:space="preserve"> 11</w:t>
      </w:r>
      <w:r w:rsidRPr="003B0DB2">
        <w:t xml:space="preserve"> International Guiding Principles </w:t>
      </w:r>
      <w:r w:rsidR="009D0F9C">
        <w:t>for actors developing advanced AI systems</w:t>
      </w:r>
      <w:r w:rsidRPr="003B0DB2">
        <w:t xml:space="preserve"> and a voluntary Code of Conduct for AI developers</w:t>
      </w:r>
      <w:r w:rsidR="00066FBF">
        <w:t xml:space="preserve"> in September and October of 2023</w:t>
      </w:r>
      <w:r w:rsidR="009D0F9C">
        <w:t xml:space="preserve">, with a particular recognition of </w:t>
      </w:r>
      <w:r w:rsidR="009D0F9C" w:rsidRPr="009D0F9C">
        <w:t>foundation models and generative AI</w:t>
      </w:r>
      <w:r>
        <w:t>.</w:t>
      </w:r>
      <w:r w:rsidR="009D0F9C">
        <w:rPr>
          <w:rStyle w:val="EndnoteReference"/>
        </w:rPr>
        <w:endnoteReference w:id="5"/>
      </w:r>
      <w:r>
        <w:t xml:space="preserve">  </w:t>
      </w:r>
      <w:r w:rsidR="00ED64B6">
        <w:t xml:space="preserve">The </w:t>
      </w:r>
      <w:r w:rsidR="00ED64B6" w:rsidRPr="003B0DB2">
        <w:t>Guiding Principles</w:t>
      </w:r>
      <w:r w:rsidR="00ED64B6">
        <w:t xml:space="preserve"> include risk analysis throughout the development cycle of AI, public reporting and information sharing of AI capabilities, development of </w:t>
      </w:r>
      <w:r w:rsidR="00ED64B6" w:rsidRPr="00ED64B6">
        <w:t>AI governance and risk management policies</w:t>
      </w:r>
      <w:r w:rsidR="005D54E5">
        <w:t>.</w:t>
      </w:r>
      <w:r w:rsidR="005D54E5">
        <w:rPr>
          <w:rStyle w:val="EndnoteReference"/>
        </w:rPr>
        <w:endnoteReference w:id="6"/>
      </w:r>
      <w:r w:rsidR="005D54E5">
        <w:t xml:space="preserve">  The principles further govern </w:t>
      </w:r>
      <w:r w:rsidR="00ED64B6">
        <w:t>implementation of “</w:t>
      </w:r>
      <w:r w:rsidR="00ED64B6" w:rsidRPr="00ED64B6">
        <w:t>robust security controls</w:t>
      </w:r>
      <w:r w:rsidR="00ED64B6">
        <w:t>” as well as “</w:t>
      </w:r>
      <w:r w:rsidR="00ED64B6" w:rsidRPr="00ED64B6">
        <w:t>appropriate data input measures and protections for personal data and intellectual property</w:t>
      </w:r>
      <w:r w:rsidR="005D54E5">
        <w:t>.</w:t>
      </w:r>
      <w:r w:rsidR="00ED64B6">
        <w:t>”</w:t>
      </w:r>
      <w:r w:rsidR="005D54E5">
        <w:rPr>
          <w:rStyle w:val="EndnoteReference"/>
        </w:rPr>
        <w:endnoteReference w:id="7"/>
      </w:r>
      <w:r w:rsidR="005D54E5">
        <w:t xml:space="preserve">  Moreover, the principles include </w:t>
      </w:r>
      <w:r w:rsidR="00ED64B6">
        <w:t>adoption of</w:t>
      </w:r>
      <w:r w:rsidR="00ED64B6" w:rsidRPr="00ED64B6">
        <w:t xml:space="preserve"> </w:t>
      </w:r>
      <w:r w:rsidR="00ED64B6">
        <w:t>“</w:t>
      </w:r>
      <w:r w:rsidR="00ED64B6" w:rsidRPr="00ED64B6">
        <w:t>international technical standards</w:t>
      </w:r>
      <w:r w:rsidR="00ED64B6">
        <w:t>” and “</w:t>
      </w:r>
      <w:r w:rsidR="00ED64B6" w:rsidRPr="00ED64B6">
        <w:t>reliable content authentication and provenance mechanisms</w:t>
      </w:r>
      <w:r w:rsidR="00ED64B6">
        <w:t>.”</w:t>
      </w:r>
      <w:r w:rsidR="00ED64B6">
        <w:rPr>
          <w:rStyle w:val="EndnoteReference"/>
        </w:rPr>
        <w:endnoteReference w:id="8"/>
      </w:r>
      <w:r w:rsidR="00ED64B6">
        <w:t xml:space="preserve"> </w:t>
      </w:r>
      <w:r w:rsidR="00ED64B6" w:rsidRPr="00ED64B6">
        <w:t xml:space="preserve">The Code of Conduct </w:t>
      </w:r>
      <w:r w:rsidR="00ED64B6">
        <w:t>is directed to providing</w:t>
      </w:r>
      <w:r w:rsidR="00ED64B6" w:rsidRPr="00ED64B6">
        <w:t xml:space="preserve"> practical guidance for organizations developing AI.</w:t>
      </w:r>
      <w:r w:rsidR="00ED64B6">
        <w:rPr>
          <w:rStyle w:val="EndnoteReference"/>
        </w:rPr>
        <w:endnoteReference w:id="9"/>
      </w:r>
    </w:p>
    <w:p w14:paraId="1C1CF6A5" w14:textId="77777777" w:rsidR="009D0F9C" w:rsidRDefault="009D0F9C"/>
    <w:p w14:paraId="41BA54BE" w14:textId="6804655F" w:rsidR="00ED64B6" w:rsidRDefault="003B0DB2">
      <w:r>
        <w:t xml:space="preserve">In parallel, the Bletchley Declaration was developed, with </w:t>
      </w:r>
      <w:r w:rsidR="006E47CF">
        <w:t>the UK host</w:t>
      </w:r>
      <w:r>
        <w:t>ing</w:t>
      </w:r>
      <w:r w:rsidR="006E47CF">
        <w:t xml:space="preserve"> an AI Safety Summit on Nov. 1, 2023 through Nov. 2, 2023, which was attended by 29 countries and international organizations including Australia, Brazil, the European Union, India, Japan, and the United States.</w:t>
      </w:r>
      <w:bookmarkStart w:id="0" w:name="_Ref160999969"/>
      <w:r w:rsidR="006E47CF">
        <w:rPr>
          <w:rStyle w:val="EndnoteReference"/>
        </w:rPr>
        <w:endnoteReference w:id="10"/>
      </w:r>
      <w:bookmarkEnd w:id="0"/>
      <w:r w:rsidR="006E47CF">
        <w:t xml:space="preserve">  </w:t>
      </w:r>
      <w:r w:rsidR="006B1DBA">
        <w:t xml:space="preserve">These 29 countries signed on to the </w:t>
      </w:r>
      <w:r w:rsidR="006B1DBA" w:rsidRPr="00660AA6">
        <w:t>Bletchley Declaration</w:t>
      </w:r>
      <w:r w:rsidR="006B1DBA">
        <w:t xml:space="preserve"> at the Summit, affirming that </w:t>
      </w:r>
      <w:r w:rsidR="00F82BA5">
        <w:t>safety should be evaluated across AI life cycles, and that the countries would encourage relevant actors to provide “</w:t>
      </w:r>
      <w:r w:rsidR="00F82BA5" w:rsidRPr="00F82BA5">
        <w:t>context-appropriate transparency and accountability</w:t>
      </w:r>
      <w:r w:rsidR="00F82BA5">
        <w:t>” for risk evaluation.</w:t>
      </w:r>
      <w:r w:rsidR="00F82BA5">
        <w:rPr>
          <w:rStyle w:val="EndnoteReference"/>
        </w:rPr>
        <w:endnoteReference w:id="11"/>
      </w:r>
      <w:r w:rsidR="006B1DBA">
        <w:t xml:space="preserve"> </w:t>
      </w:r>
      <w:r w:rsidR="00F82BA5">
        <w:t xml:space="preserve"> The Bletchley Declaration further put forward an </w:t>
      </w:r>
      <w:r w:rsidR="00F82BA5" w:rsidRPr="00F82BA5">
        <w:t>agenda for addressing AI risk</w:t>
      </w:r>
      <w:r w:rsidR="00F82BA5">
        <w:t xml:space="preserve"> in order to “</w:t>
      </w:r>
      <w:r w:rsidR="00F82BA5" w:rsidRPr="00F82BA5">
        <w:t>inform action at the national and international levels</w:t>
      </w:r>
      <w:r w:rsidR="00F82BA5">
        <w:t xml:space="preserve">,” comprising developing a shared global approach towards identification and understanding of  AI safety risks, </w:t>
      </w:r>
      <w:r w:rsidR="008079E7">
        <w:t xml:space="preserve">and </w:t>
      </w:r>
      <w:r w:rsidR="00F82BA5">
        <w:t>developing collaborative approaches</w:t>
      </w:r>
      <w:r w:rsidR="00F82BA5">
        <w:rPr>
          <w:rStyle w:val="EndnoteReference"/>
        </w:rPr>
        <w:endnoteReference w:id="12"/>
      </w:r>
      <w:r w:rsidR="00F82BA5">
        <w:t xml:space="preserve"> for risk and safety regulation, to the extent that the individual countries’ legal frameworks will allow</w:t>
      </w:r>
      <w:r w:rsidR="00941BB2">
        <w:t>.</w:t>
      </w:r>
      <w:r w:rsidR="008079E7">
        <w:rPr>
          <w:rStyle w:val="EndnoteReference"/>
        </w:rPr>
        <w:endnoteReference w:id="13"/>
      </w:r>
      <w:r w:rsidR="00ED64B6">
        <w:t xml:space="preserve"> </w:t>
      </w:r>
      <w:r w:rsidR="00941BB2">
        <w:t xml:space="preserve"> This</w:t>
      </w:r>
      <w:r w:rsidR="00ED64B6">
        <w:t xml:space="preserve"> appears to be less robust and comprehensive in comparison with the Hiroshima AI process with a lack of practical implementations steps.</w:t>
      </w:r>
      <w:r w:rsidR="00941BB2">
        <w:rPr>
          <w:rStyle w:val="EndnoteReference"/>
        </w:rPr>
        <w:endnoteReference w:id="14"/>
      </w:r>
      <w:r w:rsidR="008079E7">
        <w:t xml:space="preserve">  The agenda emphasized “frontier AI” covering AI models that have the potential to cause catastrophic harm in areas such as biotechnology, cybersecurity, and disinformation.</w:t>
      </w:r>
      <w:r w:rsidR="008079E7">
        <w:rPr>
          <w:rStyle w:val="EndnoteReference"/>
        </w:rPr>
        <w:endnoteReference w:id="15"/>
      </w:r>
      <w:r w:rsidR="008079E7">
        <w:t xml:space="preserve">  Towards achieving this agenda, the signatories agreed to support international </w:t>
      </w:r>
      <w:r w:rsidR="008079E7" w:rsidRPr="008079E7">
        <w:t>multilateral, plurilateral and bilateral</w:t>
      </w:r>
      <w:r w:rsidR="008079E7">
        <w:t xml:space="preserve"> collaboration networks, and further agreed to meet in 2024 to continue discussions.</w:t>
      </w:r>
      <w:r w:rsidR="008079E7">
        <w:rPr>
          <w:rStyle w:val="EndnoteReference"/>
        </w:rPr>
        <w:endnoteReference w:id="16"/>
      </w:r>
      <w:r w:rsidR="008079E7">
        <w:t xml:space="preserve">  </w:t>
      </w:r>
    </w:p>
    <w:p w14:paraId="74F153D5" w14:textId="454A52AF" w:rsidR="00ED64B6" w:rsidRDefault="00ED64B6"/>
    <w:p w14:paraId="4F52D2FF" w14:textId="77777777" w:rsidR="00941BB2" w:rsidRDefault="00941BB2"/>
    <w:p w14:paraId="2C949FE6" w14:textId="02D5B213" w:rsidR="00F82BA5" w:rsidRDefault="008079E7">
      <w:r>
        <w:lastRenderedPageBreak/>
        <w:t xml:space="preserve">While the goals of </w:t>
      </w:r>
      <w:r w:rsidR="00ED64B6">
        <w:t>the above international movements</w:t>
      </w:r>
      <w:r>
        <w:t xml:space="preserve"> are admirable, whether these non-binding affirmations by the signatories will result in the countries signing agreements with concrete policy and regulation for </w:t>
      </w:r>
      <w:r w:rsidRPr="008079E7">
        <w:t xml:space="preserve">internationally coordinated action </w:t>
      </w:r>
      <w:r>
        <w:t>remains to be seen.</w:t>
      </w:r>
      <w:r w:rsidR="00ED64B6">
        <w:rPr>
          <w:rStyle w:val="EndnoteReference"/>
        </w:rPr>
        <w:endnoteReference w:id="17"/>
      </w:r>
      <w:r w:rsidR="00ED64B6">
        <w:t xml:space="preserve">  However, the concrete and practical nature of </w:t>
      </w:r>
      <w:r w:rsidR="00ED64B6" w:rsidRPr="003B0DB2">
        <w:t>Hiroshima AI Process</w:t>
      </w:r>
      <w:r w:rsidR="00ED64B6">
        <w:t xml:space="preserve"> seems most promising. </w:t>
      </w:r>
    </w:p>
    <w:p w14:paraId="4686931A" w14:textId="018FC06C" w:rsidR="00660AA6" w:rsidRDefault="00660AA6"/>
    <w:sectPr w:rsidR="00660AA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9C12" w14:textId="77777777" w:rsidR="008F3FA8" w:rsidRDefault="008F3FA8" w:rsidP="00660AA6">
      <w:r>
        <w:separator/>
      </w:r>
    </w:p>
  </w:endnote>
  <w:endnote w:type="continuationSeparator" w:id="0">
    <w:p w14:paraId="0CF69B4D" w14:textId="77777777" w:rsidR="008F3FA8" w:rsidRDefault="008F3FA8" w:rsidP="00660AA6">
      <w:r>
        <w:continuationSeparator/>
      </w:r>
    </w:p>
  </w:endnote>
  <w:endnote w:id="1">
    <w:p w14:paraId="648CFF9C" w14:textId="6E8F2C3B" w:rsidR="00660AA6" w:rsidRDefault="00660AA6">
      <w:pPr>
        <w:pStyle w:val="EndnoteText"/>
      </w:pPr>
      <w:r>
        <w:rPr>
          <w:rStyle w:val="EndnoteReference"/>
        </w:rPr>
        <w:endnoteRef/>
      </w:r>
      <w:r>
        <w:t xml:space="preserve"> </w:t>
      </w:r>
      <w:r w:rsidRPr="00660AA6">
        <w:rPr>
          <w:i/>
          <w:iCs/>
        </w:rPr>
        <w:t>What is the history of artificial intelligence (AI)?</w:t>
      </w:r>
      <w:r w:rsidRPr="00660AA6">
        <w:t>,</w:t>
      </w:r>
      <w:r w:rsidRPr="00B36B80">
        <w:t xml:space="preserve"> </w:t>
      </w:r>
      <w:r>
        <w:rPr>
          <w:smallCaps/>
        </w:rPr>
        <w:t>Tableau</w:t>
      </w:r>
      <w:r>
        <w:t xml:space="preserve"> (Feb. 2023)</w:t>
      </w:r>
      <w:r w:rsidRPr="00B36B80">
        <w:t>,</w:t>
      </w:r>
      <w:r w:rsidRPr="00660AA6">
        <w:t xml:space="preserve"> https://www.tableau.com/data-insights/ai/history</w:t>
      </w:r>
      <w:r>
        <w:t xml:space="preserve"> </w:t>
      </w:r>
      <w:r w:rsidR="00DB4CDA">
        <w:t>[</w:t>
      </w:r>
      <w:r w:rsidR="00541A15" w:rsidRPr="00541A15">
        <w:t>https://perma.cc/YAN7-582W</w:t>
      </w:r>
      <w:r w:rsidR="00DB4CDA">
        <w:t>].</w:t>
      </w:r>
    </w:p>
  </w:endnote>
  <w:endnote w:id="2">
    <w:p w14:paraId="0C5317D3" w14:textId="52419E6A" w:rsidR="00660AA6" w:rsidRDefault="00660AA6">
      <w:pPr>
        <w:pStyle w:val="EndnoteText"/>
      </w:pPr>
      <w:r>
        <w:rPr>
          <w:rStyle w:val="EndnoteReference"/>
        </w:rPr>
        <w:endnoteRef/>
      </w:r>
      <w:r>
        <w:t xml:space="preserve"> </w:t>
      </w:r>
      <w:r w:rsidRPr="00660AA6">
        <w:t>Pat Lawlor</w:t>
      </w:r>
      <w:r>
        <w:t xml:space="preserve">, </w:t>
      </w:r>
      <w:r w:rsidRPr="00660AA6">
        <w:rPr>
          <w:i/>
          <w:iCs/>
        </w:rPr>
        <w:t>The rise of generative AI: A timeline of breakthrough innovations</w:t>
      </w:r>
      <w:r w:rsidRPr="00B36B80">
        <w:t xml:space="preserve">, </w:t>
      </w:r>
      <w:r>
        <w:rPr>
          <w:smallCaps/>
        </w:rPr>
        <w:t>Qualcomm Blog</w:t>
      </w:r>
      <w:r>
        <w:t xml:space="preserve"> (Feb</w:t>
      </w:r>
      <w:r w:rsidRPr="00B36B80">
        <w:t xml:space="preserve">. </w:t>
      </w:r>
      <w:r>
        <w:t>12</w:t>
      </w:r>
      <w:r w:rsidRPr="00B36B80">
        <w:t xml:space="preserve">, </w:t>
      </w:r>
      <w:r>
        <w:t>2024)</w:t>
      </w:r>
      <w:r w:rsidRPr="00B36B80">
        <w:t>,</w:t>
      </w:r>
      <w:r>
        <w:t xml:space="preserve"> </w:t>
      </w:r>
      <w:r w:rsidRPr="00660AA6">
        <w:t>https://www.qualcomm.com/news/onq/2024/02/the-rise-of-generative-ai-timeline-of-breakthrough-innovations</w:t>
      </w:r>
      <w:r w:rsidR="00DB4CDA">
        <w:t xml:space="preserve"> [</w:t>
      </w:r>
      <w:r w:rsidR="00541A15" w:rsidRPr="00541A15">
        <w:t>https://perma.cc/LE27-VSES</w:t>
      </w:r>
      <w:r w:rsidR="00DB4CDA">
        <w:t>].</w:t>
      </w:r>
      <w:r>
        <w:t xml:space="preserve"> </w:t>
      </w:r>
    </w:p>
  </w:endnote>
  <w:endnote w:id="3">
    <w:p w14:paraId="3A61EDC9" w14:textId="63CCA93B" w:rsidR="00660AA6" w:rsidRDefault="00660AA6">
      <w:pPr>
        <w:pStyle w:val="EndnoteText"/>
      </w:pPr>
      <w:r>
        <w:rPr>
          <w:rStyle w:val="EndnoteReference"/>
        </w:rPr>
        <w:endnoteRef/>
      </w:r>
      <w:r>
        <w:t xml:space="preserve"> </w:t>
      </w:r>
      <w:r>
        <w:rPr>
          <w:i/>
          <w:iCs/>
        </w:rPr>
        <w:t xml:space="preserve">See </w:t>
      </w:r>
      <w:r w:rsidRPr="00660AA6">
        <w:t xml:space="preserve">Michael R. </w:t>
      </w:r>
      <w:proofErr w:type="spellStart"/>
      <w:r w:rsidRPr="00660AA6">
        <w:t>Siebecker</w:t>
      </w:r>
      <w:proofErr w:type="spellEnd"/>
      <w:r>
        <w:t xml:space="preserve">, </w:t>
      </w:r>
      <w:r w:rsidRPr="00660AA6">
        <w:rPr>
          <w:i/>
          <w:iCs/>
        </w:rPr>
        <w:t>Democracy, Discourse, and the Artificially Intelligent Corporation</w:t>
      </w:r>
      <w:r>
        <w:t xml:space="preserve">, 84 </w:t>
      </w:r>
      <w:r w:rsidRPr="00660AA6">
        <w:rPr>
          <w:smallCaps/>
        </w:rPr>
        <w:t>Ohio St. L.J.</w:t>
      </w:r>
      <w:r>
        <w:t xml:space="preserve"> 953 (2024); </w:t>
      </w:r>
      <w:r>
        <w:rPr>
          <w:i/>
          <w:iCs/>
        </w:rPr>
        <w:t>See also</w:t>
      </w:r>
      <w:r>
        <w:t xml:space="preserve"> </w:t>
      </w:r>
      <w:r w:rsidRPr="00660AA6">
        <w:t xml:space="preserve">Alexander S. </w:t>
      </w:r>
      <w:proofErr w:type="spellStart"/>
      <w:r w:rsidRPr="00660AA6">
        <w:t>Rusek</w:t>
      </w:r>
      <w:proofErr w:type="spellEnd"/>
      <w:r>
        <w:t xml:space="preserve">, </w:t>
      </w:r>
      <w:r w:rsidRPr="00660AA6">
        <w:rPr>
          <w:i/>
          <w:iCs/>
        </w:rPr>
        <w:t>The A</w:t>
      </w:r>
      <w:r>
        <w:rPr>
          <w:i/>
          <w:iCs/>
        </w:rPr>
        <w:t>I</w:t>
      </w:r>
      <w:r w:rsidRPr="00660AA6">
        <w:rPr>
          <w:i/>
          <w:iCs/>
        </w:rPr>
        <w:t xml:space="preserve"> Revolution: A Look Back </w:t>
      </w:r>
      <w:r>
        <w:rPr>
          <w:i/>
          <w:iCs/>
        </w:rPr>
        <w:t>a</w:t>
      </w:r>
      <w:r w:rsidRPr="00660AA6">
        <w:rPr>
          <w:i/>
          <w:iCs/>
        </w:rPr>
        <w:t xml:space="preserve">t 2023 </w:t>
      </w:r>
      <w:r>
        <w:rPr>
          <w:i/>
          <w:iCs/>
        </w:rPr>
        <w:t>a</w:t>
      </w:r>
      <w:r w:rsidRPr="00660AA6">
        <w:rPr>
          <w:i/>
          <w:iCs/>
        </w:rPr>
        <w:t xml:space="preserve">nd </w:t>
      </w:r>
      <w:r>
        <w:rPr>
          <w:i/>
          <w:iCs/>
        </w:rPr>
        <w:t>t</w:t>
      </w:r>
      <w:r w:rsidRPr="00660AA6">
        <w:rPr>
          <w:i/>
          <w:iCs/>
        </w:rPr>
        <w:t>he Future Of A</w:t>
      </w:r>
      <w:r>
        <w:rPr>
          <w:i/>
          <w:iCs/>
        </w:rPr>
        <w:t>I</w:t>
      </w:r>
      <w:r w:rsidRPr="00660AA6">
        <w:rPr>
          <w:i/>
          <w:iCs/>
        </w:rPr>
        <w:t xml:space="preserve"> </w:t>
      </w:r>
      <w:r>
        <w:rPr>
          <w:i/>
          <w:iCs/>
        </w:rPr>
        <w:t>i</w:t>
      </w:r>
      <w:r w:rsidRPr="00660AA6">
        <w:rPr>
          <w:i/>
          <w:iCs/>
        </w:rPr>
        <w:t xml:space="preserve">n </w:t>
      </w:r>
      <w:r>
        <w:rPr>
          <w:i/>
          <w:iCs/>
        </w:rPr>
        <w:t>t</w:t>
      </w:r>
      <w:r w:rsidRPr="00660AA6">
        <w:rPr>
          <w:i/>
          <w:iCs/>
        </w:rPr>
        <w:t>he Law</w:t>
      </w:r>
      <w:r>
        <w:t xml:space="preserve">, 103 </w:t>
      </w:r>
      <w:r w:rsidRPr="00660AA6">
        <w:rPr>
          <w:smallCaps/>
        </w:rPr>
        <w:t>MI Bar J.</w:t>
      </w:r>
      <w:r>
        <w:t xml:space="preserve"> 22 (2024).</w:t>
      </w:r>
    </w:p>
  </w:endnote>
  <w:endnote w:id="4">
    <w:p w14:paraId="428B22ED" w14:textId="6BDF77DC" w:rsidR="009D0F9C" w:rsidRDefault="009D0F9C">
      <w:pPr>
        <w:pStyle w:val="EndnoteText"/>
      </w:pPr>
      <w:r>
        <w:rPr>
          <w:rStyle w:val="EndnoteReference"/>
        </w:rPr>
        <w:endnoteRef/>
      </w:r>
      <w:r>
        <w:t xml:space="preserve"> </w:t>
      </w:r>
      <w:r w:rsidR="00ED64B6" w:rsidRPr="009D0F9C">
        <w:t>U</w:t>
      </w:r>
      <w:r w:rsidR="00ED64B6" w:rsidRPr="009D0F9C">
        <w:rPr>
          <w:rFonts w:cs="Times New Roman (Body CS)"/>
          <w:smallCaps/>
        </w:rPr>
        <w:t>.S. Department of the Treasury</w:t>
      </w:r>
      <w:r w:rsidR="00ED64B6">
        <w:t xml:space="preserve">, </w:t>
      </w:r>
      <w:r w:rsidR="00ED64B6" w:rsidRPr="009D0F9C">
        <w:rPr>
          <w:i/>
          <w:iCs/>
        </w:rPr>
        <w:t>G-7 and G-20</w:t>
      </w:r>
      <w:r w:rsidR="00ED64B6">
        <w:t xml:space="preserve"> (last visited on Mar. 10 2024)</w:t>
      </w:r>
      <w:r w:rsidR="00541A15">
        <w:t xml:space="preserve"> </w:t>
      </w:r>
      <w:r w:rsidR="00541A15" w:rsidRPr="009D0F9C">
        <w:t>https://home.treasury.gov/policy-issues/international/g-7-and-g-20</w:t>
      </w:r>
      <w:r w:rsidR="00541A15">
        <w:t xml:space="preserve"> [</w:t>
      </w:r>
      <w:r w:rsidR="00541A15" w:rsidRPr="00541A15">
        <w:t>https://perma.cc/M988-P7AV</w:t>
      </w:r>
      <w:r w:rsidR="00541A15">
        <w:t>]</w:t>
      </w:r>
      <w:r w:rsidR="00ED64B6">
        <w:t>.</w:t>
      </w:r>
    </w:p>
  </w:endnote>
  <w:endnote w:id="5">
    <w:p w14:paraId="58A43B01" w14:textId="30847298" w:rsidR="009D0F9C" w:rsidRDefault="009D0F9C">
      <w:pPr>
        <w:pStyle w:val="EndnoteText"/>
      </w:pPr>
      <w:r>
        <w:rPr>
          <w:rStyle w:val="EndnoteReference"/>
        </w:rPr>
        <w:endnoteRef/>
      </w:r>
      <w:r>
        <w:t xml:space="preserve"> </w:t>
      </w:r>
      <w:r w:rsidR="00ED64B6" w:rsidRPr="009D0F9C">
        <w:rPr>
          <w:i/>
          <w:iCs/>
        </w:rPr>
        <w:t>G7 Leaders’ Statement on the Hiroshima AI Process</w:t>
      </w:r>
      <w:r w:rsidR="00ED64B6">
        <w:t xml:space="preserve">, </w:t>
      </w:r>
      <w:r w:rsidR="00ED64B6">
        <w:rPr>
          <w:rFonts w:cs="Times New Roman (Body CS)"/>
          <w:smallCaps/>
        </w:rPr>
        <w:t>Statement from the White House</w:t>
      </w:r>
      <w:r w:rsidR="00ED64B6">
        <w:t xml:space="preserve"> (Oct. 30, 2023), </w:t>
      </w:r>
      <w:r w:rsidR="00ED64B6" w:rsidRPr="009D0F9C">
        <w:t>https://www.whitehouse.gov/briefing-room/statements-releases/2023/10/30/g7-leaders-statement-on-the-hiroshima-ai-process/</w:t>
      </w:r>
      <w:r w:rsidR="00541A15">
        <w:t xml:space="preserve"> [</w:t>
      </w:r>
      <w:r w:rsidR="00541A15" w:rsidRPr="00541A15">
        <w:t>https://perma.cc/LZ6W-A5J8</w:t>
      </w:r>
      <w:r w:rsidR="00541A15">
        <w:t>]</w:t>
      </w:r>
      <w:r w:rsidR="00ED64B6">
        <w:t>.</w:t>
      </w:r>
    </w:p>
  </w:endnote>
  <w:endnote w:id="6">
    <w:p w14:paraId="38482B68" w14:textId="77777777" w:rsidR="005D54E5" w:rsidRPr="00ED64B6" w:rsidRDefault="005D54E5" w:rsidP="005D54E5">
      <w:pPr>
        <w:pStyle w:val="EndnoteText"/>
        <w:rPr>
          <w:i/>
          <w:iCs/>
        </w:rPr>
      </w:pPr>
      <w:r>
        <w:rPr>
          <w:rStyle w:val="EndnoteReference"/>
        </w:rPr>
        <w:endnoteRef/>
      </w:r>
      <w:r>
        <w:t xml:space="preserve"> </w:t>
      </w:r>
      <w:r w:rsidRPr="00ED64B6">
        <w:rPr>
          <w:i/>
          <w:iCs/>
        </w:rPr>
        <w:t>G7 Hiroshima AI Process:</w:t>
      </w:r>
      <w:r>
        <w:rPr>
          <w:i/>
          <w:iCs/>
        </w:rPr>
        <w:t xml:space="preserve"> </w:t>
      </w:r>
      <w:r w:rsidRPr="00ED64B6">
        <w:rPr>
          <w:i/>
          <w:iCs/>
        </w:rPr>
        <w:t>G7 Digital &amp; Tech Ministers' Statement</w:t>
      </w:r>
      <w:r>
        <w:t xml:space="preserve">, </w:t>
      </w:r>
      <w:r w:rsidRPr="00ED64B6">
        <w:rPr>
          <w:rFonts w:cs="Times New Roman (Body CS)"/>
          <w:smallCaps/>
        </w:rPr>
        <w:t>Univ. of Toronto</w:t>
      </w:r>
      <w:r>
        <w:t xml:space="preserve"> - </w:t>
      </w:r>
      <w:r>
        <w:rPr>
          <w:rFonts w:cs="Times New Roman (Body CS)"/>
          <w:smallCaps/>
        </w:rPr>
        <w:t>G7 Info. Ctr.</w:t>
      </w:r>
      <w:r>
        <w:t xml:space="preserve"> (Dec. 1, 2023), </w:t>
      </w:r>
      <w:r w:rsidRPr="00ED64B6">
        <w:t>http://www.g7.utoronto.ca/ict/2023-statement-2.html</w:t>
      </w:r>
      <w:r>
        <w:t xml:space="preserve"> [</w:t>
      </w:r>
      <w:r w:rsidRPr="00541A15">
        <w:t>https://perma.cc/WEA5-W9RR</w:t>
      </w:r>
      <w:r>
        <w:t>].</w:t>
      </w:r>
    </w:p>
  </w:endnote>
  <w:endnote w:id="7">
    <w:p w14:paraId="39DFAAD3" w14:textId="4F6D3FDA" w:rsidR="005D54E5" w:rsidRPr="005D54E5" w:rsidRDefault="005D54E5">
      <w:pPr>
        <w:pStyle w:val="EndnoteText"/>
        <w:rPr>
          <w:i/>
          <w:iCs/>
        </w:rPr>
      </w:pPr>
      <w:r>
        <w:rPr>
          <w:rStyle w:val="EndnoteReference"/>
        </w:rPr>
        <w:endnoteRef/>
      </w:r>
      <w:r>
        <w:t xml:space="preserve"> </w:t>
      </w:r>
      <w:r>
        <w:rPr>
          <w:i/>
          <w:iCs/>
        </w:rPr>
        <w:t>I</w:t>
      </w:r>
      <w:r w:rsidRPr="005D54E5">
        <w:rPr>
          <w:i/>
          <w:iCs/>
        </w:rPr>
        <w:t xml:space="preserve">d. </w:t>
      </w:r>
    </w:p>
  </w:endnote>
  <w:endnote w:id="8">
    <w:p w14:paraId="750D8640" w14:textId="1A8126B6" w:rsidR="00ED64B6" w:rsidRPr="00ED64B6" w:rsidRDefault="00ED64B6" w:rsidP="00ED64B6">
      <w:pPr>
        <w:pStyle w:val="EndnoteText"/>
        <w:rPr>
          <w:i/>
          <w:iCs/>
        </w:rPr>
      </w:pPr>
      <w:r>
        <w:rPr>
          <w:rStyle w:val="EndnoteReference"/>
        </w:rPr>
        <w:endnoteRef/>
      </w:r>
      <w:r>
        <w:t xml:space="preserve"> </w:t>
      </w:r>
      <w:r w:rsidR="005D54E5">
        <w:rPr>
          <w:i/>
          <w:iCs/>
        </w:rPr>
        <w:t>I</w:t>
      </w:r>
      <w:r w:rsidR="005D54E5" w:rsidRPr="005D54E5">
        <w:rPr>
          <w:i/>
          <w:iCs/>
        </w:rPr>
        <w:t>d.</w:t>
      </w:r>
    </w:p>
  </w:endnote>
  <w:endnote w:id="9">
    <w:p w14:paraId="6F73C16D" w14:textId="23A1177B" w:rsidR="00ED64B6" w:rsidRDefault="00ED64B6">
      <w:pPr>
        <w:pStyle w:val="EndnoteText"/>
      </w:pPr>
      <w:r>
        <w:rPr>
          <w:rStyle w:val="EndnoteReference"/>
        </w:rPr>
        <w:endnoteRef/>
      </w:r>
      <w:r>
        <w:t xml:space="preserve"> </w:t>
      </w:r>
      <w:r w:rsidRPr="00ED64B6">
        <w:rPr>
          <w:i/>
          <w:iCs/>
        </w:rPr>
        <w:t>G7 Leaders Agree on Guiding Principles and Code of Conduct on Artificial Intelligence</w:t>
      </w:r>
      <w:r w:rsidRPr="00B36B80">
        <w:t xml:space="preserve">, </w:t>
      </w:r>
      <w:r>
        <w:rPr>
          <w:smallCaps/>
        </w:rPr>
        <w:t>Hunton Angrews Kurth</w:t>
      </w:r>
      <w:r>
        <w:t xml:space="preserve"> (Oct. 30</w:t>
      </w:r>
      <w:r w:rsidRPr="00B36B80">
        <w:t xml:space="preserve">, </w:t>
      </w:r>
      <w:r>
        <w:t>2023)</w:t>
      </w:r>
      <w:r w:rsidRPr="00B36B80">
        <w:t>,</w:t>
      </w:r>
      <w:r>
        <w:t xml:space="preserve"> </w:t>
      </w:r>
      <w:r w:rsidRPr="00ED64B6">
        <w:t>https://www.huntonprivacyblog.com/2023/10/30/g7-leaders-agree-on-guiding-principles-and-code-of-conduct-on-artificial-intelligence/</w:t>
      </w:r>
      <w:r w:rsidR="00541A15">
        <w:t xml:space="preserve"> [</w:t>
      </w:r>
      <w:r w:rsidR="00541A15" w:rsidRPr="00541A15">
        <w:t>https://perma.cc/B2JV-3XS3</w:t>
      </w:r>
      <w:r w:rsidR="00541A15">
        <w:t>]</w:t>
      </w:r>
      <w:r>
        <w:t>.</w:t>
      </w:r>
    </w:p>
  </w:endnote>
  <w:endnote w:id="10">
    <w:p w14:paraId="73C16E31" w14:textId="7BE00F29" w:rsidR="006E47CF" w:rsidRDefault="006E47CF">
      <w:pPr>
        <w:pStyle w:val="EndnoteText"/>
      </w:pPr>
      <w:r>
        <w:rPr>
          <w:rStyle w:val="EndnoteReference"/>
        </w:rPr>
        <w:endnoteRef/>
      </w:r>
      <w:r>
        <w:t xml:space="preserve"> “</w:t>
      </w:r>
      <w:r w:rsidRPr="006E47CF">
        <w:t>Bletchley Declaration</w:t>
      </w:r>
      <w:r>
        <w:t xml:space="preserve">” Policy Paper UK Govt., </w:t>
      </w:r>
      <w:r w:rsidRPr="006E47CF">
        <w:rPr>
          <w:i/>
          <w:iCs/>
        </w:rPr>
        <w:t>The Bletchley Declaration by Countries Attending the AI Safety Summit, 1-2 November 2023</w:t>
      </w:r>
      <w:r>
        <w:t xml:space="preserve"> (Nov. 1, 2023) </w:t>
      </w:r>
      <w:r w:rsidRPr="006E47CF">
        <w:t>https://www.gov.uk/government/publications/ai-safety-summit-2023-the-bletchley-declaration/the-bletchley-declaration-by-countries-attending-the-ai-safety-summit-1-2-november-2023</w:t>
      </w:r>
      <w:r w:rsidR="00541A15">
        <w:t xml:space="preserve"> [</w:t>
      </w:r>
      <w:r w:rsidR="00541A15" w:rsidRPr="00541A15">
        <w:t>https://perma.cc/D9KD-MR6U</w:t>
      </w:r>
      <w:r w:rsidR="00541A15">
        <w:t>]</w:t>
      </w:r>
      <w:r>
        <w:t xml:space="preserve">. (Listing the countries and international organizations that are parties to the Declaration – </w:t>
      </w:r>
      <w:r w:rsidRPr="006E47CF">
        <w:t>Australia, Brazil, Canada, Chile, China, European Union, France, Germany, India, Indonesia, Ireland, Israel, Italy, Japan, Kenya, Kingdom of Saudi Arabia, Netherlands, Nigeria, the Philippines, Republic of Korea, Rwanda, Singapore, Spain, Switzerland, Türkiye, Ukraine, United Arab Emirates, United Kingdom of Great Britain and Northern Ireland, and United States of America</w:t>
      </w:r>
      <w:r>
        <w:t>)</w:t>
      </w:r>
      <w:r w:rsidR="003B0DB2">
        <w:t xml:space="preserve">; </w:t>
      </w:r>
      <w:r w:rsidR="003B0DB2">
        <w:rPr>
          <w:i/>
          <w:iCs/>
        </w:rPr>
        <w:t xml:space="preserve">See also </w:t>
      </w:r>
      <w:r w:rsidR="003B0DB2" w:rsidRPr="003B0DB2">
        <w:t>Privacy and Data Protection Journal, UK government to chart an alternative approach to AI, 23 PDP J, no. 7 (July/August 2023)</w:t>
      </w:r>
      <w:r w:rsidR="00541A15">
        <w:t xml:space="preserve"> </w:t>
      </w:r>
      <w:r w:rsidR="00541A15">
        <w:rPr>
          <w:i/>
          <w:iCs/>
        </w:rPr>
        <w:t>available at</w:t>
      </w:r>
      <w:r w:rsidR="00541A15">
        <w:t xml:space="preserve"> </w:t>
      </w:r>
      <w:r w:rsidR="00541A15" w:rsidRPr="00541A15">
        <w:t>https://plus.lexis.com/api/permalink/315eb82f-e8d0-495a-8922-ac7e5caaa4eb/?context=1530671</w:t>
      </w:r>
      <w:r w:rsidR="003B0DB2" w:rsidRPr="003B0DB2">
        <w:t>.</w:t>
      </w:r>
    </w:p>
  </w:endnote>
  <w:endnote w:id="11">
    <w:p w14:paraId="2E97F609" w14:textId="309B7466" w:rsidR="00F82BA5" w:rsidRPr="00F82BA5" w:rsidRDefault="00F82BA5">
      <w:pPr>
        <w:pStyle w:val="EndnoteText"/>
        <w:rPr>
          <w:i/>
          <w:iCs/>
        </w:rPr>
      </w:pPr>
      <w:r>
        <w:rPr>
          <w:rStyle w:val="EndnoteReference"/>
        </w:rPr>
        <w:endnoteRef/>
      </w:r>
      <w:r>
        <w:t xml:space="preserve"> </w:t>
      </w:r>
      <w:r>
        <w:rPr>
          <w:i/>
          <w:iCs/>
        </w:rPr>
        <w:t>Id.</w:t>
      </w:r>
    </w:p>
  </w:endnote>
  <w:endnote w:id="12">
    <w:p w14:paraId="5E1C2747" w14:textId="122AEBDA" w:rsidR="00F82BA5" w:rsidRPr="00F82BA5" w:rsidRDefault="00F82BA5">
      <w:pPr>
        <w:pStyle w:val="EndnoteText"/>
      </w:pPr>
      <w:r>
        <w:rPr>
          <w:rStyle w:val="EndnoteReference"/>
        </w:rPr>
        <w:endnoteRef/>
      </w:r>
      <w:r>
        <w:t xml:space="preserve"> </w:t>
      </w:r>
      <w:r>
        <w:rPr>
          <w:i/>
          <w:iCs/>
        </w:rPr>
        <w:t>Id.</w:t>
      </w:r>
      <w:r>
        <w:t xml:space="preserve"> (These collaborative approaches can include “</w:t>
      </w:r>
      <w:r w:rsidRPr="00F82BA5">
        <w:t>appropriate evaluation metrics, tools for safety testing, and developing relevant public sector capability and scientific research</w:t>
      </w:r>
      <w:r>
        <w:t>,” “</w:t>
      </w:r>
      <w:r w:rsidRPr="00F82BA5">
        <w:t>alongside increased transparency by private actors developing frontier AI capabilities</w:t>
      </w:r>
      <w:r>
        <w:t>.”).</w:t>
      </w:r>
    </w:p>
  </w:endnote>
  <w:endnote w:id="13">
    <w:p w14:paraId="4AC5E5E4" w14:textId="63D38AFD" w:rsidR="008079E7" w:rsidRDefault="008079E7">
      <w:pPr>
        <w:pStyle w:val="EndnoteText"/>
      </w:pPr>
      <w:r>
        <w:rPr>
          <w:rStyle w:val="EndnoteReference"/>
        </w:rPr>
        <w:endnoteRef/>
      </w:r>
      <w:r>
        <w:t xml:space="preserve"> </w:t>
      </w:r>
      <w:r w:rsidRPr="008079E7">
        <w:rPr>
          <w:i/>
          <w:iCs/>
        </w:rPr>
        <w:t>Id.</w:t>
      </w:r>
    </w:p>
  </w:endnote>
  <w:endnote w:id="14">
    <w:p w14:paraId="0BB1CC4D" w14:textId="42E0DB26" w:rsidR="00941BB2" w:rsidRPr="00941BB2" w:rsidRDefault="00941BB2">
      <w:pPr>
        <w:pStyle w:val="EndnoteText"/>
        <w:rPr>
          <w:i/>
          <w:iCs/>
        </w:rPr>
      </w:pPr>
      <w:r>
        <w:rPr>
          <w:rStyle w:val="EndnoteReference"/>
        </w:rPr>
        <w:endnoteRef/>
      </w:r>
      <w:r>
        <w:t xml:space="preserve"> </w:t>
      </w:r>
      <w:r>
        <w:rPr>
          <w:i/>
          <w:iCs/>
        </w:rPr>
        <w:t>Id.</w:t>
      </w:r>
    </w:p>
  </w:endnote>
  <w:endnote w:id="15">
    <w:p w14:paraId="725520A1" w14:textId="415EFC67" w:rsidR="008079E7" w:rsidRDefault="008079E7">
      <w:pPr>
        <w:pStyle w:val="EndnoteText"/>
      </w:pPr>
      <w:r>
        <w:rPr>
          <w:rStyle w:val="EndnoteReference"/>
        </w:rPr>
        <w:endnoteRef/>
      </w:r>
      <w:r>
        <w:t xml:space="preserve"> </w:t>
      </w:r>
      <w:r w:rsidRPr="008079E7">
        <w:t>Steven Farmer</w:t>
      </w:r>
      <w:r>
        <w:t xml:space="preserve"> et al., </w:t>
      </w:r>
      <w:r w:rsidRPr="008079E7">
        <w:rPr>
          <w:i/>
          <w:iCs/>
        </w:rPr>
        <w:t>Key Takeaways from the UK’s AI Summit: The Bletchley Declaration</w:t>
      </w:r>
      <w:r w:rsidRPr="00B36B80">
        <w:t xml:space="preserve">, </w:t>
      </w:r>
      <w:r>
        <w:rPr>
          <w:smallCaps/>
        </w:rPr>
        <w:t>Pillsbury Insights – Internet and Social Media</w:t>
      </w:r>
      <w:r>
        <w:t xml:space="preserve"> (Nov. 7</w:t>
      </w:r>
      <w:r w:rsidRPr="00B36B80">
        <w:t xml:space="preserve">, </w:t>
      </w:r>
      <w:r>
        <w:t>2023)</w:t>
      </w:r>
      <w:r w:rsidRPr="00B36B80">
        <w:t>,</w:t>
      </w:r>
      <w:r>
        <w:t xml:space="preserve"> </w:t>
      </w:r>
      <w:r w:rsidRPr="008079E7">
        <w:t>https://www.internetandtechnologylaw.com/ai-summit-bletchley-declaration/</w:t>
      </w:r>
      <w:r w:rsidR="00541A15">
        <w:t xml:space="preserve"> [</w:t>
      </w:r>
      <w:r w:rsidR="00541A15" w:rsidRPr="00541A15">
        <w:t>https://perma.cc/WL8G-MV54</w:t>
      </w:r>
      <w:r w:rsidR="00541A15">
        <w:t>]</w:t>
      </w:r>
      <w:r>
        <w:t>.</w:t>
      </w:r>
    </w:p>
  </w:endnote>
  <w:endnote w:id="16">
    <w:p w14:paraId="0F0A98E6" w14:textId="2892737E" w:rsidR="008079E7" w:rsidRPr="008079E7" w:rsidRDefault="008079E7">
      <w:pPr>
        <w:pStyle w:val="EndnoteText"/>
      </w:pPr>
      <w:r>
        <w:rPr>
          <w:rStyle w:val="EndnoteReference"/>
        </w:rPr>
        <w:endnoteRef/>
      </w:r>
      <w:r>
        <w:t xml:space="preserve"> </w:t>
      </w:r>
      <w:r w:rsidRPr="008079E7">
        <w:t>Bletchley Declaration</w:t>
      </w:r>
      <w:r>
        <w:t xml:space="preserve">, </w:t>
      </w:r>
      <w:r w:rsidRPr="008079E7">
        <w:rPr>
          <w:i/>
          <w:iCs/>
        </w:rPr>
        <w:t>supra</w:t>
      </w:r>
      <w:r>
        <w:t xml:space="preserve"> note </w:t>
      </w:r>
      <w:r>
        <w:fldChar w:fldCharType="begin"/>
      </w:r>
      <w:r>
        <w:instrText xml:space="preserve"> NOTEREF _Ref160999969 \h </w:instrText>
      </w:r>
      <w:r>
        <w:fldChar w:fldCharType="separate"/>
      </w:r>
      <w:r>
        <w:t>v</w:t>
      </w:r>
      <w:r>
        <w:fldChar w:fldCharType="end"/>
      </w:r>
      <w:r>
        <w:t>.</w:t>
      </w:r>
    </w:p>
  </w:endnote>
  <w:endnote w:id="17">
    <w:p w14:paraId="5B1D3747" w14:textId="34128123" w:rsidR="00ED64B6" w:rsidRPr="00525C30" w:rsidRDefault="00ED64B6">
      <w:pPr>
        <w:pStyle w:val="EndnoteText"/>
        <w:rPr>
          <w:i/>
          <w:iCs/>
        </w:rPr>
      </w:pPr>
      <w:r>
        <w:rPr>
          <w:rStyle w:val="EndnoteReference"/>
        </w:rPr>
        <w:endnoteRef/>
      </w:r>
      <w:r>
        <w:t xml:space="preserve"> Particularly in light of the EU developing its own comprehensive legally binding rules under the </w:t>
      </w:r>
      <w:r w:rsidRPr="00ED64B6">
        <w:t>under the EU AI Act</w:t>
      </w:r>
      <w:r>
        <w:t xml:space="preserve"> and the U.S. setting its own </w:t>
      </w:r>
      <w:r w:rsidRPr="00ED64B6">
        <w:t>federal AI standards for safety and security</w:t>
      </w:r>
      <w:r>
        <w:t xml:space="preserve">.  </w:t>
      </w:r>
      <w:r>
        <w:rPr>
          <w:i/>
          <w:iCs/>
        </w:rPr>
        <w:t xml:space="preserve">See </w:t>
      </w:r>
      <w:r w:rsidR="00CE4C1E" w:rsidRPr="00CE4C1E">
        <w:t>Brian Fung</w:t>
      </w:r>
      <w:r w:rsidR="00CE4C1E">
        <w:t xml:space="preserve">, </w:t>
      </w:r>
      <w:r w:rsidR="00CE4C1E" w:rsidRPr="00CE4C1E">
        <w:rPr>
          <w:i/>
          <w:iCs/>
        </w:rPr>
        <w:t>EU approves landmark AI law, leapfrogging US to regulate critical but worrying new technology</w:t>
      </w:r>
      <w:r w:rsidR="00CE4C1E" w:rsidRPr="00B36B80">
        <w:t xml:space="preserve">, </w:t>
      </w:r>
      <w:r w:rsidR="00CE4C1E">
        <w:rPr>
          <w:smallCaps/>
        </w:rPr>
        <w:t>CNN Business</w:t>
      </w:r>
      <w:r w:rsidR="00CE4C1E">
        <w:t xml:space="preserve"> (</w:t>
      </w:r>
      <w:r w:rsidR="00CE4C1E">
        <w:t>Mar</w:t>
      </w:r>
      <w:r w:rsidR="00CE4C1E" w:rsidRPr="00B36B80">
        <w:t xml:space="preserve">. </w:t>
      </w:r>
      <w:r w:rsidR="00CE4C1E">
        <w:t>1</w:t>
      </w:r>
      <w:r w:rsidR="00CE4C1E">
        <w:t>3</w:t>
      </w:r>
      <w:r w:rsidR="00CE4C1E" w:rsidRPr="00B36B80">
        <w:t xml:space="preserve">, </w:t>
      </w:r>
      <w:r w:rsidR="00CE4C1E">
        <w:t>2024)</w:t>
      </w:r>
      <w:r w:rsidR="00CE4C1E" w:rsidRPr="00B36B80">
        <w:t>,</w:t>
      </w:r>
      <w:r w:rsidR="00CE4C1E">
        <w:t xml:space="preserve"> </w:t>
      </w:r>
      <w:r w:rsidR="00CE4C1E" w:rsidRPr="00CE4C1E">
        <w:t>https://www.cnn.com/2024/03/13/tech/ai-european-union</w:t>
      </w:r>
      <w:r w:rsidR="00CE4C1E">
        <w:t xml:space="preserve"> [</w:t>
      </w:r>
      <w:r w:rsidR="00CE4C1E" w:rsidRPr="00CE4C1E">
        <w:t>https://perma.cc/A3SB-ERXF</w:t>
      </w:r>
      <w:r w:rsidR="00CE4C1E">
        <w:t>]</w:t>
      </w:r>
      <w:r w:rsidR="00CE4C1E">
        <w:t xml:space="preserve">; </w:t>
      </w:r>
      <w:r w:rsidRPr="00ED64B6">
        <w:rPr>
          <w:i/>
          <w:iCs/>
        </w:rPr>
        <w:t>Commission welcomes G7 leaders' agreement on Guiding Principles and a Code of Conduct on Artificial Intelligence</w:t>
      </w:r>
      <w:r>
        <w:t xml:space="preserve">, </w:t>
      </w:r>
      <w:r>
        <w:rPr>
          <w:rFonts w:cs="Times New Roman (Body CS)"/>
          <w:smallCaps/>
        </w:rPr>
        <w:t>European Commission</w:t>
      </w:r>
      <w:r>
        <w:t xml:space="preserve"> (Oct. 30, 2023), </w:t>
      </w:r>
      <w:r w:rsidRPr="00ED64B6">
        <w:t>https://digital-strategy.ec.europa.eu/en/news/commission-welcomes-g7-leaders-agreement-guiding-principles-and-code-conduct-artificial</w:t>
      </w:r>
      <w:r w:rsidR="00541A15">
        <w:t xml:space="preserve"> [</w:t>
      </w:r>
      <w:r w:rsidR="00541A15" w:rsidRPr="00541A15">
        <w:t>https://perma.cc/Y5SY-73L4</w:t>
      </w:r>
      <w:r w:rsidR="00541A15">
        <w:t>]</w:t>
      </w:r>
      <w:r>
        <w:t xml:space="preserve">; </w:t>
      </w:r>
      <w:r w:rsidRPr="00ED64B6">
        <w:rPr>
          <w:i/>
          <w:iCs/>
        </w:rPr>
        <w:t>Executive Order on the Safe, Secure, and Trustworthy Development and Use of Artificial Intelligence</w:t>
      </w:r>
      <w:r w:rsidRPr="00ED64B6">
        <w:t xml:space="preserve">, </w:t>
      </w:r>
      <w:r w:rsidRPr="00ED64B6">
        <w:rPr>
          <w:rFonts w:cs="Times New Roman (Body CS)"/>
          <w:smallCaps/>
        </w:rPr>
        <w:t>The White House</w:t>
      </w:r>
      <w:r w:rsidRPr="00ED64B6">
        <w:t xml:space="preserve"> (Oct. 30, 2023), https://www.whitehouse.gov/briefing-room/presidential-actions/2023/10/30/executive-order-on-the-safe-secure-and-trustworthy-development-and-use-of-artificial-intelligence/</w:t>
      </w:r>
      <w:r w:rsidR="00541A15">
        <w:t xml:space="preserve"> [</w:t>
      </w:r>
      <w:r w:rsidR="00541A15" w:rsidRPr="00541A15">
        <w:t>https://perma.cc/P88T-77NN</w:t>
      </w:r>
      <w:r w:rsidR="00541A15">
        <w:t xml:space="preserve">]; </w:t>
      </w:r>
      <w:r w:rsidR="00541A15" w:rsidRPr="00ED64B6">
        <w:rPr>
          <w:i/>
          <w:iCs/>
        </w:rPr>
        <w:t>Safe, Secure, and Trustworthy Development and Use of Artificial Intelligence</w:t>
      </w:r>
      <w:r w:rsidR="00541A15" w:rsidRPr="00ED64B6">
        <w:t>, 88 Fed. Reg. at 75191</w:t>
      </w:r>
      <w:r w:rsidR="00541A1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AB8E" w14:textId="77777777" w:rsidR="008F3FA8" w:rsidRDefault="008F3FA8" w:rsidP="00660AA6">
      <w:r>
        <w:separator/>
      </w:r>
    </w:p>
  </w:footnote>
  <w:footnote w:type="continuationSeparator" w:id="0">
    <w:p w14:paraId="7AD96D79" w14:textId="77777777" w:rsidR="008F3FA8" w:rsidRDefault="008F3FA8" w:rsidP="0066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37294"/>
    <w:multiLevelType w:val="multilevel"/>
    <w:tmpl w:val="B0B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406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A6"/>
    <w:rsid w:val="00066FBF"/>
    <w:rsid w:val="003B0DB2"/>
    <w:rsid w:val="00494988"/>
    <w:rsid w:val="00525C30"/>
    <w:rsid w:val="00541A15"/>
    <w:rsid w:val="005D54E5"/>
    <w:rsid w:val="00660AA6"/>
    <w:rsid w:val="006B1DBA"/>
    <w:rsid w:val="006E47CF"/>
    <w:rsid w:val="008079E7"/>
    <w:rsid w:val="008F3FA8"/>
    <w:rsid w:val="009144F8"/>
    <w:rsid w:val="00941BB2"/>
    <w:rsid w:val="009D0F9C"/>
    <w:rsid w:val="00BA393C"/>
    <w:rsid w:val="00CE4C1E"/>
    <w:rsid w:val="00D57B15"/>
    <w:rsid w:val="00DB4CDA"/>
    <w:rsid w:val="00ED16B7"/>
    <w:rsid w:val="00ED64B6"/>
    <w:rsid w:val="00F2651A"/>
    <w:rsid w:val="00F8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14784"/>
  <w15:chartTrackingRefBased/>
  <w15:docId w15:val="{DB7674C5-50E8-7248-9820-8FADD22D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AA6"/>
    <w:rPr>
      <w:sz w:val="20"/>
      <w:szCs w:val="20"/>
    </w:rPr>
  </w:style>
  <w:style w:type="character" w:customStyle="1" w:styleId="FootnoteTextChar">
    <w:name w:val="Footnote Text Char"/>
    <w:basedOn w:val="DefaultParagraphFont"/>
    <w:link w:val="FootnoteText"/>
    <w:uiPriority w:val="99"/>
    <w:semiHidden/>
    <w:rsid w:val="00660AA6"/>
    <w:rPr>
      <w:sz w:val="20"/>
      <w:szCs w:val="20"/>
    </w:rPr>
  </w:style>
  <w:style w:type="character" w:styleId="FootnoteReference">
    <w:name w:val="footnote reference"/>
    <w:basedOn w:val="DefaultParagraphFont"/>
    <w:uiPriority w:val="99"/>
    <w:semiHidden/>
    <w:unhideWhenUsed/>
    <w:rsid w:val="00660AA6"/>
    <w:rPr>
      <w:vertAlign w:val="superscript"/>
    </w:rPr>
  </w:style>
  <w:style w:type="paragraph" w:styleId="EndnoteText">
    <w:name w:val="endnote text"/>
    <w:basedOn w:val="Normal"/>
    <w:link w:val="EndnoteTextChar"/>
    <w:uiPriority w:val="99"/>
    <w:semiHidden/>
    <w:unhideWhenUsed/>
    <w:rsid w:val="00660AA6"/>
    <w:rPr>
      <w:sz w:val="20"/>
      <w:szCs w:val="20"/>
    </w:rPr>
  </w:style>
  <w:style w:type="character" w:customStyle="1" w:styleId="EndnoteTextChar">
    <w:name w:val="Endnote Text Char"/>
    <w:basedOn w:val="DefaultParagraphFont"/>
    <w:link w:val="EndnoteText"/>
    <w:uiPriority w:val="99"/>
    <w:semiHidden/>
    <w:rsid w:val="00660AA6"/>
    <w:rPr>
      <w:sz w:val="20"/>
      <w:szCs w:val="20"/>
    </w:rPr>
  </w:style>
  <w:style w:type="character" w:styleId="EndnoteReference">
    <w:name w:val="endnote reference"/>
    <w:basedOn w:val="DefaultParagraphFont"/>
    <w:uiPriority w:val="99"/>
    <w:semiHidden/>
    <w:unhideWhenUsed/>
    <w:rsid w:val="00660AA6"/>
    <w:rPr>
      <w:vertAlign w:val="superscript"/>
    </w:rPr>
  </w:style>
  <w:style w:type="character" w:styleId="Hyperlink">
    <w:name w:val="Hyperlink"/>
    <w:basedOn w:val="DefaultParagraphFont"/>
    <w:uiPriority w:val="99"/>
    <w:unhideWhenUsed/>
    <w:rsid w:val="00660AA6"/>
    <w:rPr>
      <w:color w:val="0563C1" w:themeColor="hyperlink"/>
      <w:u w:val="single"/>
    </w:rPr>
  </w:style>
  <w:style w:type="character" w:styleId="UnresolvedMention">
    <w:name w:val="Unresolved Mention"/>
    <w:basedOn w:val="DefaultParagraphFont"/>
    <w:uiPriority w:val="99"/>
    <w:semiHidden/>
    <w:unhideWhenUsed/>
    <w:rsid w:val="00660AA6"/>
    <w:rPr>
      <w:color w:val="605E5C"/>
      <w:shd w:val="clear" w:color="auto" w:fill="E1DFDD"/>
    </w:rPr>
  </w:style>
  <w:style w:type="paragraph" w:styleId="Revision">
    <w:name w:val="Revision"/>
    <w:hidden/>
    <w:uiPriority w:val="99"/>
    <w:semiHidden/>
    <w:rsid w:val="003B0DB2"/>
  </w:style>
  <w:style w:type="character" w:styleId="CommentReference">
    <w:name w:val="annotation reference"/>
    <w:basedOn w:val="DefaultParagraphFont"/>
    <w:uiPriority w:val="99"/>
    <w:semiHidden/>
    <w:unhideWhenUsed/>
    <w:rsid w:val="00ED16B7"/>
    <w:rPr>
      <w:sz w:val="16"/>
      <w:szCs w:val="16"/>
    </w:rPr>
  </w:style>
  <w:style w:type="paragraph" w:styleId="CommentText">
    <w:name w:val="annotation text"/>
    <w:basedOn w:val="Normal"/>
    <w:link w:val="CommentTextChar"/>
    <w:uiPriority w:val="99"/>
    <w:semiHidden/>
    <w:unhideWhenUsed/>
    <w:rsid w:val="00ED16B7"/>
    <w:rPr>
      <w:sz w:val="20"/>
      <w:szCs w:val="20"/>
    </w:rPr>
  </w:style>
  <w:style w:type="character" w:customStyle="1" w:styleId="CommentTextChar">
    <w:name w:val="Comment Text Char"/>
    <w:basedOn w:val="DefaultParagraphFont"/>
    <w:link w:val="CommentText"/>
    <w:uiPriority w:val="99"/>
    <w:semiHidden/>
    <w:rsid w:val="00ED16B7"/>
    <w:rPr>
      <w:sz w:val="20"/>
      <w:szCs w:val="20"/>
    </w:rPr>
  </w:style>
  <w:style w:type="paragraph" w:styleId="CommentSubject">
    <w:name w:val="annotation subject"/>
    <w:basedOn w:val="CommentText"/>
    <w:next w:val="CommentText"/>
    <w:link w:val="CommentSubjectChar"/>
    <w:uiPriority w:val="99"/>
    <w:semiHidden/>
    <w:unhideWhenUsed/>
    <w:rsid w:val="00ED16B7"/>
    <w:rPr>
      <w:b/>
      <w:bCs/>
    </w:rPr>
  </w:style>
  <w:style w:type="character" w:customStyle="1" w:styleId="CommentSubjectChar">
    <w:name w:val="Comment Subject Char"/>
    <w:basedOn w:val="CommentTextChar"/>
    <w:link w:val="CommentSubject"/>
    <w:uiPriority w:val="99"/>
    <w:semiHidden/>
    <w:rsid w:val="00ED1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3718">
      <w:bodyDiv w:val="1"/>
      <w:marLeft w:val="0"/>
      <w:marRight w:val="0"/>
      <w:marTop w:val="0"/>
      <w:marBottom w:val="0"/>
      <w:divBdr>
        <w:top w:val="none" w:sz="0" w:space="0" w:color="auto"/>
        <w:left w:val="none" w:sz="0" w:space="0" w:color="auto"/>
        <w:bottom w:val="none" w:sz="0" w:space="0" w:color="auto"/>
        <w:right w:val="none" w:sz="0" w:space="0" w:color="auto"/>
      </w:divBdr>
    </w:div>
    <w:div w:id="1627005446">
      <w:bodyDiv w:val="1"/>
      <w:marLeft w:val="0"/>
      <w:marRight w:val="0"/>
      <w:marTop w:val="0"/>
      <w:marBottom w:val="0"/>
      <w:divBdr>
        <w:top w:val="none" w:sz="0" w:space="0" w:color="auto"/>
        <w:left w:val="none" w:sz="0" w:space="0" w:color="auto"/>
        <w:bottom w:val="none" w:sz="0" w:space="0" w:color="auto"/>
        <w:right w:val="none" w:sz="0" w:space="0" w:color="auto"/>
      </w:divBdr>
    </w:div>
    <w:div w:id="20278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417B8-0615-1240-8523-B51E1E5D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Vaidehi Bachoti</dc:creator>
  <cp:keywords/>
  <dc:description/>
  <cp:lastModifiedBy>Vaidehi Bachoti</cp:lastModifiedBy>
  <cp:revision>3</cp:revision>
  <dcterms:created xsi:type="dcterms:W3CDTF">2024-03-21T16:52:00Z</dcterms:created>
  <dcterms:modified xsi:type="dcterms:W3CDTF">2024-03-24T03:37:00Z</dcterms:modified>
</cp:coreProperties>
</file>