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8169" w14:textId="77777777" w:rsidR="007F0F6A" w:rsidRDefault="007F0F6A" w:rsidP="007F0F6A">
      <w:pPr>
        <w:ind w:firstLine="720"/>
        <w:rPr>
          <w:rFonts w:ascii="Times New Roman" w:hAnsi="Times New Roman" w:cs="Times New Roman"/>
        </w:rPr>
      </w:pPr>
      <w:r>
        <w:rPr>
          <w:rFonts w:ascii="Times New Roman" w:hAnsi="Times New Roman" w:cs="Times New Roman"/>
        </w:rPr>
        <w:t xml:space="preserve">Terrorism in all its forms and manifestations is always criminal and unjustifiable. While the principle may find purchase in our collective hearts and minds, it requires solidification and active reaffirmation in our domestic legal system. The ongoing case of </w:t>
      </w:r>
      <w:r w:rsidRPr="00640F01">
        <w:rPr>
          <w:rFonts w:ascii="Times New Roman" w:hAnsi="Times New Roman" w:cs="Times New Roman"/>
          <w:i/>
          <w:iCs/>
        </w:rPr>
        <w:t>United States v. Najibullah</w:t>
      </w:r>
      <w:r>
        <w:rPr>
          <w:rFonts w:ascii="Times New Roman" w:hAnsi="Times New Roman" w:cs="Times New Roman"/>
        </w:rPr>
        <w:t xml:space="preserve"> presents a ripe opportunity for doing so. </w:t>
      </w:r>
    </w:p>
    <w:p w14:paraId="6185620C" w14:textId="77777777" w:rsidR="007F0F6A" w:rsidRDefault="007F0F6A" w:rsidP="007F0F6A">
      <w:pPr>
        <w:ind w:firstLine="720"/>
        <w:rPr>
          <w:rFonts w:ascii="Times New Roman" w:hAnsi="Times New Roman" w:cs="Times New Roman"/>
        </w:rPr>
      </w:pPr>
      <w:r>
        <w:rPr>
          <w:rFonts w:ascii="Times New Roman" w:hAnsi="Times New Roman" w:cs="Times New Roman"/>
        </w:rPr>
        <w:t>Currently, in the Southern District of New York, a Taliban spokesperson and commander in Afghanistan, Haji Najibullah has filed a motion to dismiss the thirteen-count indictment against him related to his alleged orchestration of a 2008 attack on an American military convoy that resulted in the deaths of three American servicemembers.</w:t>
      </w:r>
      <w:r>
        <w:rPr>
          <w:rStyle w:val="FootnoteReference"/>
          <w:rFonts w:ascii="Times New Roman" w:hAnsi="Times New Roman" w:cs="Times New Roman"/>
        </w:rPr>
        <w:footnoteReference w:id="1"/>
      </w:r>
      <w:r>
        <w:rPr>
          <w:rFonts w:ascii="Times New Roman" w:hAnsi="Times New Roman" w:cs="Times New Roman"/>
        </w:rPr>
        <w:t xml:space="preserve"> Najibullah argues that, as a member of the Taliban when the alleged conduct occurred, he has legal status as a prisoner of war and is thus immune from prosecution for what he argues was lawful participation in hostilities.</w:t>
      </w:r>
      <w:r>
        <w:rPr>
          <w:rStyle w:val="FootnoteReference"/>
          <w:rFonts w:ascii="Times New Roman" w:hAnsi="Times New Roman" w:cs="Times New Roman"/>
        </w:rPr>
        <w:footnoteReference w:id="2"/>
      </w:r>
      <w:r>
        <w:rPr>
          <w:rFonts w:ascii="Times New Roman" w:hAnsi="Times New Roman" w:cs="Times New Roman"/>
        </w:rPr>
        <w:t xml:space="preserve"> In deciding whether or not to grant the motion the defendant’s motion, the civilian district court judge presiding over the case must rule on complex law-of-war issues that have festered at the roots of the United States’ conflict with the Taliban in Afghanistan since its inception.</w:t>
      </w:r>
      <w:r>
        <w:rPr>
          <w:rStyle w:val="FootnoteReference"/>
          <w:rFonts w:ascii="Times New Roman" w:hAnsi="Times New Roman" w:cs="Times New Roman"/>
        </w:rPr>
        <w:footnoteReference w:id="3"/>
      </w:r>
      <w:r>
        <w:rPr>
          <w:rFonts w:ascii="Times New Roman" w:hAnsi="Times New Roman" w:cs="Times New Roman"/>
        </w:rPr>
        <w:t xml:space="preserve"> Doing so will require reliance on and application of core principles of International Humanitarian Law (IHL): the doctrines of conflict classification, determination of belligerent status, and customary immunities. </w:t>
      </w:r>
    </w:p>
    <w:p w14:paraId="71FB7B52" w14:textId="550F5C72" w:rsidR="00274F0F" w:rsidRDefault="007F0F6A" w:rsidP="00F4011E">
      <w:pPr>
        <w:ind w:firstLine="720"/>
        <w:rPr>
          <w:rFonts w:ascii="Times New Roman" w:hAnsi="Times New Roman" w:cs="Times New Roman"/>
        </w:rPr>
      </w:pPr>
      <w:r>
        <w:rPr>
          <w:rFonts w:ascii="Times New Roman" w:hAnsi="Times New Roman" w:cs="Times New Roman"/>
        </w:rPr>
        <w:t>The central issue before the court is whether the defendant is eligible for the Prisoner of War (POW) status required to claim combatant immunity for his alleged orchestration of the 2008 attack and resulting deaths.</w:t>
      </w:r>
      <w:r>
        <w:rPr>
          <w:rStyle w:val="FootnoteReference"/>
          <w:rFonts w:ascii="Times New Roman" w:hAnsi="Times New Roman" w:cs="Times New Roman"/>
        </w:rPr>
        <w:footnoteReference w:id="4"/>
      </w:r>
      <w:r>
        <w:rPr>
          <w:rFonts w:ascii="Times New Roman" w:hAnsi="Times New Roman" w:cs="Times New Roman"/>
        </w:rPr>
        <w:t xml:space="preserve"> Given thorough analysis of the evidence submitted by both parties, and the relevant doctrines of international humanitarian law, the answer is decisively clear: the defendant is not eligible for POW status and thus cannot claim combatant immunity. It necessarily follows that the motion fails on the merits and must be denied.</w:t>
      </w:r>
    </w:p>
    <w:p w14:paraId="70CDC7F4" w14:textId="77777777" w:rsidR="00C83DA2" w:rsidRDefault="00C83DA2" w:rsidP="00C83DA2">
      <w:pPr>
        <w:ind w:firstLine="720"/>
        <w:rPr>
          <w:rFonts w:ascii="Times New Roman" w:hAnsi="Times New Roman" w:cs="Times New Roman"/>
        </w:rPr>
      </w:pPr>
      <w:r>
        <w:rPr>
          <w:rFonts w:ascii="Times New Roman" w:hAnsi="Times New Roman" w:cs="Times New Roman"/>
        </w:rPr>
        <w:t xml:space="preserve">Traditionally, the question of combatant immunity exists within the </w:t>
      </w:r>
      <w:r w:rsidRPr="00DC29D5">
        <w:rPr>
          <w:rFonts w:ascii="Times New Roman" w:hAnsi="Times New Roman" w:cs="Times New Roman"/>
          <w:i/>
          <w:iCs/>
        </w:rPr>
        <w:t>Jus in Bello</w:t>
      </w:r>
      <w:r>
        <w:rPr>
          <w:rFonts w:ascii="Times New Roman" w:hAnsi="Times New Roman" w:cs="Times New Roman"/>
        </w:rPr>
        <w:t xml:space="preserve"> legal domain and is determined by a two-part inquiry, governed by the Third Geneva Convention Relative to the Treatment of Prisoners of War (GCIII).</w:t>
      </w:r>
      <w:r>
        <w:rPr>
          <w:rStyle w:val="FootnoteReference"/>
          <w:rFonts w:ascii="Times New Roman" w:hAnsi="Times New Roman" w:cs="Times New Roman"/>
        </w:rPr>
        <w:footnoteReference w:id="5"/>
      </w:r>
      <w:r>
        <w:rPr>
          <w:rFonts w:ascii="Times New Roman" w:hAnsi="Times New Roman" w:cs="Times New Roman"/>
        </w:rPr>
        <w:t xml:space="preserve"> </w:t>
      </w:r>
      <w:r w:rsidRPr="006A7B51">
        <w:rPr>
          <w:rFonts w:ascii="Times New Roman" w:hAnsi="Times New Roman" w:cs="Times New Roman"/>
        </w:rPr>
        <w:t xml:space="preserve">The </w:t>
      </w:r>
      <w:r>
        <w:rPr>
          <w:rFonts w:ascii="Times New Roman" w:hAnsi="Times New Roman" w:cs="Times New Roman"/>
        </w:rPr>
        <w:t>f</w:t>
      </w:r>
      <w:r w:rsidRPr="006A7B51">
        <w:rPr>
          <w:rFonts w:ascii="Times New Roman" w:hAnsi="Times New Roman" w:cs="Times New Roman"/>
        </w:rPr>
        <w:t>irst questio</w:t>
      </w:r>
      <w:r>
        <w:rPr>
          <w:rFonts w:ascii="Times New Roman" w:hAnsi="Times New Roman" w:cs="Times New Roman"/>
        </w:rPr>
        <w:t>n</w:t>
      </w:r>
      <w:r w:rsidRPr="006A7B51">
        <w:rPr>
          <w:rFonts w:ascii="Times New Roman" w:hAnsi="Times New Roman" w:cs="Times New Roman"/>
        </w:rPr>
        <w:t xml:space="preserve"> asks whether the conflict was of sufficient </w:t>
      </w:r>
      <w:r>
        <w:rPr>
          <w:rFonts w:ascii="Times New Roman" w:hAnsi="Times New Roman" w:cs="Times New Roman"/>
        </w:rPr>
        <w:t>international</w:t>
      </w:r>
      <w:r w:rsidRPr="006A7B51">
        <w:rPr>
          <w:rFonts w:ascii="Times New Roman" w:hAnsi="Times New Roman" w:cs="Times New Roman"/>
        </w:rPr>
        <w:t xml:space="preserve"> character to fall within the </w:t>
      </w:r>
      <w:r>
        <w:rPr>
          <w:rFonts w:ascii="Times New Roman" w:hAnsi="Times New Roman" w:cs="Times New Roman"/>
        </w:rPr>
        <w:t>s</w:t>
      </w:r>
      <w:r w:rsidRPr="006A7B51">
        <w:rPr>
          <w:rFonts w:ascii="Times New Roman" w:hAnsi="Times New Roman" w:cs="Times New Roman"/>
        </w:rPr>
        <w:t>cope of GC</w:t>
      </w:r>
      <w:r>
        <w:rPr>
          <w:rFonts w:ascii="Times New Roman" w:hAnsi="Times New Roman" w:cs="Times New Roman"/>
        </w:rPr>
        <w:t>I</w:t>
      </w:r>
      <w:r w:rsidRPr="006A7B51">
        <w:rPr>
          <w:rFonts w:ascii="Times New Roman" w:hAnsi="Times New Roman" w:cs="Times New Roman"/>
        </w:rPr>
        <w:t>II. The</w:t>
      </w:r>
      <w:r>
        <w:rPr>
          <w:rFonts w:ascii="Times New Roman" w:hAnsi="Times New Roman" w:cs="Times New Roman"/>
        </w:rPr>
        <w:t xml:space="preserve"> </w:t>
      </w:r>
      <w:r w:rsidRPr="006A7B51">
        <w:rPr>
          <w:rFonts w:ascii="Times New Roman" w:hAnsi="Times New Roman" w:cs="Times New Roman"/>
        </w:rPr>
        <w:t>prosecution correctly argues that</w:t>
      </w:r>
      <w:r>
        <w:rPr>
          <w:rFonts w:ascii="Times New Roman" w:hAnsi="Times New Roman" w:cs="Times New Roman"/>
        </w:rPr>
        <w:t xml:space="preserve"> </w:t>
      </w:r>
      <w:r w:rsidRPr="006A7B51">
        <w:rPr>
          <w:rFonts w:ascii="Times New Roman" w:hAnsi="Times New Roman" w:cs="Times New Roman"/>
        </w:rPr>
        <w:t xml:space="preserve">the state of the conflict between the </w:t>
      </w:r>
      <w:r>
        <w:rPr>
          <w:rFonts w:ascii="Times New Roman" w:hAnsi="Times New Roman" w:cs="Times New Roman"/>
        </w:rPr>
        <w:t>United States</w:t>
      </w:r>
      <w:r w:rsidRPr="006A7B51">
        <w:rPr>
          <w:rFonts w:ascii="Times New Roman" w:hAnsi="Times New Roman" w:cs="Times New Roman"/>
        </w:rPr>
        <w:t xml:space="preserve"> and the</w:t>
      </w:r>
      <w:r>
        <w:rPr>
          <w:rFonts w:ascii="Times New Roman" w:hAnsi="Times New Roman" w:cs="Times New Roman"/>
        </w:rPr>
        <w:t xml:space="preserve"> </w:t>
      </w:r>
      <w:r w:rsidRPr="006A7B51">
        <w:rPr>
          <w:rFonts w:ascii="Times New Roman" w:hAnsi="Times New Roman" w:cs="Times New Roman"/>
        </w:rPr>
        <w:t>Taliban at the time cannot b</w:t>
      </w:r>
      <w:r>
        <w:rPr>
          <w:rFonts w:ascii="Times New Roman" w:hAnsi="Times New Roman" w:cs="Times New Roman"/>
        </w:rPr>
        <w:t>e</w:t>
      </w:r>
      <w:r w:rsidRPr="006A7B51">
        <w:rPr>
          <w:rFonts w:ascii="Times New Roman" w:hAnsi="Times New Roman" w:cs="Times New Roman"/>
        </w:rPr>
        <w:t xml:space="preserve"> classified within the contemplated boundaries of GCTI</w:t>
      </w:r>
      <w:r>
        <w:rPr>
          <w:rFonts w:ascii="Times New Roman" w:hAnsi="Times New Roman" w:cs="Times New Roman"/>
        </w:rPr>
        <w:t>II</w:t>
      </w:r>
      <w:r w:rsidRPr="006A7B51">
        <w:rPr>
          <w:rFonts w:ascii="Times New Roman" w:hAnsi="Times New Roman" w:cs="Times New Roman"/>
        </w:rPr>
        <w:t xml:space="preserve"> art</w:t>
      </w:r>
      <w:r>
        <w:rPr>
          <w:rFonts w:ascii="Times New Roman" w:hAnsi="Times New Roman" w:cs="Times New Roman"/>
        </w:rPr>
        <w:t>. 2.</w:t>
      </w:r>
      <w:r>
        <w:rPr>
          <w:rStyle w:val="FootnoteReference"/>
          <w:rFonts w:ascii="Times New Roman" w:hAnsi="Times New Roman" w:cs="Times New Roman"/>
        </w:rPr>
        <w:footnoteReference w:id="6"/>
      </w:r>
      <w:r>
        <w:rPr>
          <w:rFonts w:ascii="Times New Roman" w:hAnsi="Times New Roman" w:cs="Times New Roman"/>
        </w:rPr>
        <w:t xml:space="preserve"> International</w:t>
      </w:r>
      <w:r w:rsidRPr="006A7B51">
        <w:rPr>
          <w:rFonts w:ascii="Times New Roman" w:hAnsi="Times New Roman" w:cs="Times New Roman"/>
        </w:rPr>
        <w:t xml:space="preserve"> consensus reaffirm</w:t>
      </w:r>
      <w:r>
        <w:rPr>
          <w:rFonts w:ascii="Times New Roman" w:hAnsi="Times New Roman" w:cs="Times New Roman"/>
        </w:rPr>
        <w:t>s</w:t>
      </w:r>
      <w:r w:rsidRPr="006A7B51">
        <w:rPr>
          <w:rFonts w:ascii="Times New Roman" w:hAnsi="Times New Roman" w:cs="Times New Roman"/>
        </w:rPr>
        <w:t xml:space="preserve"> the validity of this position</w:t>
      </w:r>
      <w:r>
        <w:rPr>
          <w:rFonts w:ascii="Times New Roman" w:hAnsi="Times New Roman" w:cs="Times New Roman"/>
        </w:rPr>
        <w:t xml:space="preserve"> and further characterized the conflict as a non-international armed conflict (NIAC)</w:t>
      </w:r>
      <w:r w:rsidRPr="006A7B51">
        <w:rPr>
          <w:rFonts w:ascii="Times New Roman" w:hAnsi="Times New Roman" w:cs="Times New Roman"/>
        </w:rPr>
        <w:t>.</w:t>
      </w:r>
      <w:r>
        <w:rPr>
          <w:rStyle w:val="FootnoteReference"/>
          <w:rFonts w:ascii="Times New Roman" w:hAnsi="Times New Roman" w:cs="Times New Roman"/>
        </w:rPr>
        <w:footnoteReference w:id="7"/>
      </w:r>
      <w:r w:rsidRPr="006A7B51">
        <w:rPr>
          <w:rFonts w:ascii="Times New Roman" w:hAnsi="Times New Roman" w:cs="Times New Roman"/>
        </w:rPr>
        <w:t xml:space="preserve"> Because the rest of GCI</w:t>
      </w:r>
      <w:r>
        <w:rPr>
          <w:rFonts w:ascii="Times New Roman" w:hAnsi="Times New Roman" w:cs="Times New Roman"/>
        </w:rPr>
        <w:t xml:space="preserve">II </w:t>
      </w:r>
      <w:r w:rsidRPr="006A7B51">
        <w:rPr>
          <w:rFonts w:ascii="Times New Roman" w:hAnsi="Times New Roman" w:cs="Times New Roman"/>
        </w:rPr>
        <w:t>cannot b</w:t>
      </w:r>
      <w:r>
        <w:rPr>
          <w:rFonts w:ascii="Times New Roman" w:hAnsi="Times New Roman" w:cs="Times New Roman"/>
        </w:rPr>
        <w:t>e</w:t>
      </w:r>
      <w:r w:rsidRPr="006A7B51">
        <w:rPr>
          <w:rFonts w:ascii="Times New Roman" w:hAnsi="Times New Roman" w:cs="Times New Roman"/>
        </w:rPr>
        <w:t xml:space="preserve"> invoked outside the context of an</w:t>
      </w:r>
      <w:r>
        <w:rPr>
          <w:rFonts w:ascii="Times New Roman" w:hAnsi="Times New Roman" w:cs="Times New Roman"/>
        </w:rPr>
        <w:t xml:space="preserve"> international armed conflict (IAC)</w:t>
      </w:r>
      <w:r w:rsidRPr="006A7B51">
        <w:rPr>
          <w:rFonts w:ascii="Times New Roman" w:hAnsi="Times New Roman" w:cs="Times New Roman"/>
        </w:rPr>
        <w:t>, th</w:t>
      </w:r>
      <w:r>
        <w:rPr>
          <w:rFonts w:ascii="Times New Roman" w:hAnsi="Times New Roman" w:cs="Times New Roman"/>
        </w:rPr>
        <w:t>is</w:t>
      </w:r>
      <w:r w:rsidRPr="006A7B51">
        <w:rPr>
          <w:rFonts w:ascii="Times New Roman" w:hAnsi="Times New Roman" w:cs="Times New Roman"/>
        </w:rPr>
        <w:t xml:space="preserve"> conflict</w:t>
      </w:r>
      <w:r>
        <w:rPr>
          <w:rFonts w:ascii="Times New Roman" w:hAnsi="Times New Roman" w:cs="Times New Roman"/>
        </w:rPr>
        <w:t xml:space="preserve"> </w:t>
      </w:r>
      <w:r w:rsidRPr="006A7B51">
        <w:rPr>
          <w:rFonts w:ascii="Times New Roman" w:hAnsi="Times New Roman" w:cs="Times New Roman"/>
        </w:rPr>
        <w:t>characterizatio</w:t>
      </w:r>
      <w:r>
        <w:rPr>
          <w:rFonts w:ascii="Times New Roman" w:hAnsi="Times New Roman" w:cs="Times New Roman"/>
        </w:rPr>
        <w:t xml:space="preserve">n </w:t>
      </w:r>
      <w:r w:rsidRPr="006A7B51">
        <w:rPr>
          <w:rFonts w:ascii="Times New Roman" w:hAnsi="Times New Roman" w:cs="Times New Roman"/>
        </w:rPr>
        <w:t>requirement is a threshold test, and one the</w:t>
      </w:r>
      <w:r>
        <w:rPr>
          <w:rFonts w:ascii="Times New Roman" w:hAnsi="Times New Roman" w:cs="Times New Roman"/>
        </w:rPr>
        <w:t xml:space="preserve"> </w:t>
      </w:r>
      <w:r w:rsidRPr="006A7B51">
        <w:rPr>
          <w:rFonts w:ascii="Times New Roman" w:hAnsi="Times New Roman" w:cs="Times New Roman"/>
        </w:rPr>
        <w:t>def</w:t>
      </w:r>
      <w:r>
        <w:rPr>
          <w:rFonts w:ascii="Times New Roman" w:hAnsi="Times New Roman" w:cs="Times New Roman"/>
        </w:rPr>
        <w:t>endant’s</w:t>
      </w:r>
      <w:r w:rsidRPr="006A7B51">
        <w:rPr>
          <w:rFonts w:ascii="Times New Roman" w:hAnsi="Times New Roman" w:cs="Times New Roman"/>
        </w:rPr>
        <w:t xml:space="preserve"> arg</w:t>
      </w:r>
      <w:r>
        <w:rPr>
          <w:rFonts w:ascii="Times New Roman" w:hAnsi="Times New Roman" w:cs="Times New Roman"/>
        </w:rPr>
        <w:t>u</w:t>
      </w:r>
      <w:r w:rsidRPr="006A7B51">
        <w:rPr>
          <w:rFonts w:ascii="Times New Roman" w:hAnsi="Times New Roman" w:cs="Times New Roman"/>
        </w:rPr>
        <w:t>ment fails to pass. As such, the analysis could and</w:t>
      </w:r>
      <w:r>
        <w:rPr>
          <w:rFonts w:ascii="Times New Roman" w:hAnsi="Times New Roman" w:cs="Times New Roman"/>
        </w:rPr>
        <w:t xml:space="preserve"> </w:t>
      </w:r>
      <w:r w:rsidRPr="006A7B51">
        <w:rPr>
          <w:rFonts w:ascii="Times New Roman" w:hAnsi="Times New Roman" w:cs="Times New Roman"/>
        </w:rPr>
        <w:t>should stop there.</w:t>
      </w:r>
      <w:r>
        <w:rPr>
          <w:rStyle w:val="FootnoteReference"/>
          <w:rFonts w:ascii="Times New Roman" w:hAnsi="Times New Roman" w:cs="Times New Roman"/>
        </w:rPr>
        <w:footnoteReference w:id="8"/>
      </w:r>
      <w:r w:rsidRPr="006A7B51">
        <w:rPr>
          <w:rFonts w:ascii="Times New Roman" w:hAnsi="Times New Roman" w:cs="Times New Roman"/>
        </w:rPr>
        <w:t xml:space="preserve"> However, competing political and procedural forces</w:t>
      </w:r>
      <w:r>
        <w:rPr>
          <w:rFonts w:ascii="Times New Roman" w:hAnsi="Times New Roman" w:cs="Times New Roman"/>
        </w:rPr>
        <w:t xml:space="preserve"> </w:t>
      </w:r>
      <w:r w:rsidRPr="006A7B51">
        <w:rPr>
          <w:rFonts w:ascii="Times New Roman" w:hAnsi="Times New Roman" w:cs="Times New Roman"/>
        </w:rPr>
        <w:t>at play may caution the court from ruling on this issue. Th</w:t>
      </w:r>
      <w:r>
        <w:rPr>
          <w:rFonts w:ascii="Times New Roman" w:hAnsi="Times New Roman" w:cs="Times New Roman"/>
        </w:rPr>
        <w:t>u</w:t>
      </w:r>
      <w:r w:rsidRPr="006A7B51">
        <w:rPr>
          <w:rFonts w:ascii="Times New Roman" w:hAnsi="Times New Roman" w:cs="Times New Roman"/>
        </w:rPr>
        <w:t>s, I have</w:t>
      </w:r>
      <w:r>
        <w:rPr>
          <w:rFonts w:ascii="Times New Roman" w:hAnsi="Times New Roman" w:cs="Times New Roman"/>
        </w:rPr>
        <w:t xml:space="preserve"> </w:t>
      </w:r>
      <w:r w:rsidRPr="006A7B51">
        <w:rPr>
          <w:rFonts w:ascii="Times New Roman" w:hAnsi="Times New Roman" w:cs="Times New Roman"/>
        </w:rPr>
        <w:t>included in my evaluation of the motion's viability equal and</w:t>
      </w:r>
      <w:r>
        <w:rPr>
          <w:rFonts w:ascii="Times New Roman" w:hAnsi="Times New Roman" w:cs="Times New Roman"/>
        </w:rPr>
        <w:t xml:space="preserve"> </w:t>
      </w:r>
      <w:r w:rsidRPr="006A7B51">
        <w:rPr>
          <w:rFonts w:ascii="Times New Roman" w:hAnsi="Times New Roman" w:cs="Times New Roman"/>
        </w:rPr>
        <w:t xml:space="preserve">due attention to the </w:t>
      </w:r>
      <w:r>
        <w:rPr>
          <w:rFonts w:ascii="Times New Roman" w:hAnsi="Times New Roman" w:cs="Times New Roman"/>
        </w:rPr>
        <w:t>s</w:t>
      </w:r>
      <w:r w:rsidRPr="006A7B51">
        <w:rPr>
          <w:rFonts w:ascii="Times New Roman" w:hAnsi="Times New Roman" w:cs="Times New Roman"/>
        </w:rPr>
        <w:t>econd component of this inquiry.</w:t>
      </w:r>
      <w:r>
        <w:rPr>
          <w:rFonts w:ascii="Times New Roman" w:hAnsi="Times New Roman" w:cs="Times New Roman"/>
        </w:rPr>
        <w:t xml:space="preserve"> </w:t>
      </w:r>
    </w:p>
    <w:p w14:paraId="217CDE05" w14:textId="77777777" w:rsidR="00C83DA2" w:rsidRDefault="00C83DA2" w:rsidP="00C83DA2">
      <w:pPr>
        <w:ind w:firstLine="720"/>
        <w:rPr>
          <w:rFonts w:ascii="Times New Roman" w:hAnsi="Times New Roman" w:cs="Times New Roman"/>
        </w:rPr>
      </w:pPr>
      <w:r w:rsidRPr="006A7B51">
        <w:rPr>
          <w:rFonts w:ascii="Times New Roman" w:hAnsi="Times New Roman" w:cs="Times New Roman"/>
        </w:rPr>
        <w:lastRenderedPageBreak/>
        <w:t>Assuming that the entirety of GCI</w:t>
      </w:r>
      <w:r>
        <w:rPr>
          <w:rFonts w:ascii="Times New Roman" w:hAnsi="Times New Roman" w:cs="Times New Roman"/>
        </w:rPr>
        <w:t>II</w:t>
      </w:r>
      <w:r w:rsidRPr="006A7B51">
        <w:rPr>
          <w:rFonts w:ascii="Times New Roman" w:hAnsi="Times New Roman" w:cs="Times New Roman"/>
        </w:rPr>
        <w:t xml:space="preserve"> is applicable to the armed</w:t>
      </w:r>
      <w:r>
        <w:rPr>
          <w:rFonts w:ascii="Times New Roman" w:hAnsi="Times New Roman" w:cs="Times New Roman"/>
        </w:rPr>
        <w:t xml:space="preserve"> </w:t>
      </w:r>
      <w:r w:rsidRPr="006A7B51">
        <w:rPr>
          <w:rFonts w:ascii="Times New Roman" w:hAnsi="Times New Roman" w:cs="Times New Roman"/>
        </w:rPr>
        <w:t xml:space="preserve">conflict, the second issue </w:t>
      </w:r>
      <w:r>
        <w:rPr>
          <w:rFonts w:ascii="Times New Roman" w:hAnsi="Times New Roman" w:cs="Times New Roman"/>
        </w:rPr>
        <w:t>is</w:t>
      </w:r>
      <w:r w:rsidRPr="006A7B51">
        <w:rPr>
          <w:rFonts w:ascii="Times New Roman" w:hAnsi="Times New Roman" w:cs="Times New Roman"/>
        </w:rPr>
        <w:t xml:space="preserve"> whether the 2008 Taliban </w:t>
      </w:r>
      <w:r>
        <w:rPr>
          <w:rFonts w:ascii="Times New Roman" w:hAnsi="Times New Roman" w:cs="Times New Roman"/>
        </w:rPr>
        <w:t>s</w:t>
      </w:r>
      <w:r w:rsidRPr="006A7B51">
        <w:rPr>
          <w:rFonts w:ascii="Times New Roman" w:hAnsi="Times New Roman" w:cs="Times New Roman"/>
        </w:rPr>
        <w:t>ufficiently</w:t>
      </w:r>
      <w:r>
        <w:rPr>
          <w:rFonts w:ascii="Times New Roman" w:hAnsi="Times New Roman" w:cs="Times New Roman"/>
        </w:rPr>
        <w:t xml:space="preserve"> </w:t>
      </w:r>
      <w:r w:rsidRPr="006A7B51">
        <w:rPr>
          <w:rFonts w:ascii="Times New Roman" w:hAnsi="Times New Roman" w:cs="Times New Roman"/>
        </w:rPr>
        <w:t>fulfills the requirements of GCI</w:t>
      </w:r>
      <w:r>
        <w:rPr>
          <w:rFonts w:ascii="Times New Roman" w:hAnsi="Times New Roman" w:cs="Times New Roman"/>
        </w:rPr>
        <w:t>II</w:t>
      </w:r>
      <w:r w:rsidRPr="006A7B51">
        <w:rPr>
          <w:rFonts w:ascii="Times New Roman" w:hAnsi="Times New Roman" w:cs="Times New Roman"/>
        </w:rPr>
        <w:t xml:space="preserve"> art. 4 </w:t>
      </w:r>
      <w:r>
        <w:rPr>
          <w:rFonts w:ascii="Times New Roman" w:hAnsi="Times New Roman" w:cs="Times New Roman"/>
        </w:rPr>
        <w:t>s</w:t>
      </w:r>
      <w:r w:rsidRPr="006A7B51">
        <w:rPr>
          <w:rFonts w:ascii="Times New Roman" w:hAnsi="Times New Roman" w:cs="Times New Roman"/>
        </w:rPr>
        <w:t xml:space="preserve">uch that </w:t>
      </w:r>
      <w:r>
        <w:rPr>
          <w:rFonts w:ascii="Times New Roman" w:hAnsi="Times New Roman" w:cs="Times New Roman"/>
        </w:rPr>
        <w:t xml:space="preserve">the defendant’s </w:t>
      </w:r>
      <w:r w:rsidRPr="006A7B51">
        <w:rPr>
          <w:rFonts w:ascii="Times New Roman" w:hAnsi="Times New Roman" w:cs="Times New Roman"/>
        </w:rPr>
        <w:t xml:space="preserve">membership in the group entitles him to POW </w:t>
      </w:r>
      <w:r>
        <w:rPr>
          <w:rFonts w:ascii="Times New Roman" w:hAnsi="Times New Roman" w:cs="Times New Roman"/>
        </w:rPr>
        <w:t>s</w:t>
      </w:r>
      <w:r w:rsidRPr="006A7B51">
        <w:rPr>
          <w:rFonts w:ascii="Times New Roman" w:hAnsi="Times New Roman" w:cs="Times New Roman"/>
        </w:rPr>
        <w:t>tatus and resulting combatant immunity. The evidential record clearly</w:t>
      </w:r>
      <w:r>
        <w:rPr>
          <w:rFonts w:ascii="Times New Roman" w:hAnsi="Times New Roman" w:cs="Times New Roman"/>
        </w:rPr>
        <w:t xml:space="preserve"> </w:t>
      </w:r>
      <w:r w:rsidRPr="006A7B51">
        <w:rPr>
          <w:rFonts w:ascii="Times New Roman" w:hAnsi="Times New Roman" w:cs="Times New Roman"/>
        </w:rPr>
        <w:t xml:space="preserve">demonstrates that the </w:t>
      </w:r>
      <w:r>
        <w:rPr>
          <w:rFonts w:ascii="Times New Roman" w:hAnsi="Times New Roman" w:cs="Times New Roman"/>
        </w:rPr>
        <w:t>20</w:t>
      </w:r>
      <w:r w:rsidRPr="006A7B51">
        <w:rPr>
          <w:rFonts w:ascii="Times New Roman" w:hAnsi="Times New Roman" w:cs="Times New Roman"/>
        </w:rPr>
        <w:t>08 Taliban fails to meet the requirements</w:t>
      </w:r>
      <w:r>
        <w:rPr>
          <w:rFonts w:ascii="Times New Roman" w:hAnsi="Times New Roman" w:cs="Times New Roman"/>
        </w:rPr>
        <w:t xml:space="preserve"> </w:t>
      </w:r>
      <w:r w:rsidRPr="006A7B51">
        <w:rPr>
          <w:rFonts w:ascii="Times New Roman" w:hAnsi="Times New Roman" w:cs="Times New Roman"/>
        </w:rPr>
        <w:t xml:space="preserve">necessary for </w:t>
      </w:r>
      <w:r>
        <w:rPr>
          <w:rFonts w:ascii="Times New Roman" w:hAnsi="Times New Roman" w:cs="Times New Roman"/>
        </w:rPr>
        <w:t>N</w:t>
      </w:r>
      <w:r w:rsidRPr="006A7B51">
        <w:rPr>
          <w:rFonts w:ascii="Times New Roman" w:hAnsi="Times New Roman" w:cs="Times New Roman"/>
        </w:rPr>
        <w:t>ajibullah to properly claim immunity from the</w:t>
      </w:r>
      <w:r>
        <w:rPr>
          <w:rFonts w:ascii="Times New Roman" w:hAnsi="Times New Roman" w:cs="Times New Roman"/>
        </w:rPr>
        <w:t xml:space="preserve"> c</w:t>
      </w:r>
      <w:r w:rsidRPr="006A7B51">
        <w:rPr>
          <w:rFonts w:ascii="Times New Roman" w:hAnsi="Times New Roman" w:cs="Times New Roman"/>
        </w:rPr>
        <w:t>urrent prosecution solely by virt</w:t>
      </w:r>
      <w:r>
        <w:rPr>
          <w:rFonts w:ascii="Times New Roman" w:hAnsi="Times New Roman" w:cs="Times New Roman"/>
        </w:rPr>
        <w:t>u</w:t>
      </w:r>
      <w:r w:rsidRPr="006A7B51">
        <w:rPr>
          <w:rFonts w:ascii="Times New Roman" w:hAnsi="Times New Roman" w:cs="Times New Roman"/>
        </w:rPr>
        <w:t>e of his acting under the authority</w:t>
      </w:r>
      <w:r>
        <w:rPr>
          <w:rFonts w:ascii="Times New Roman" w:hAnsi="Times New Roman" w:cs="Times New Roman"/>
        </w:rPr>
        <w:t xml:space="preserve"> </w:t>
      </w:r>
      <w:r w:rsidRPr="006A7B51">
        <w:rPr>
          <w:rFonts w:ascii="Times New Roman" w:hAnsi="Times New Roman" w:cs="Times New Roman"/>
        </w:rPr>
        <w:t>of the Taliban.</w:t>
      </w:r>
      <w:r>
        <w:rPr>
          <w:rStyle w:val="FootnoteReference"/>
          <w:rFonts w:ascii="Times New Roman" w:hAnsi="Times New Roman" w:cs="Times New Roman"/>
        </w:rPr>
        <w:footnoteReference w:id="9"/>
      </w:r>
      <w:r w:rsidRPr="006A7B51">
        <w:rPr>
          <w:rFonts w:ascii="Times New Roman" w:hAnsi="Times New Roman" w:cs="Times New Roman"/>
        </w:rPr>
        <w:t xml:space="preserve"> Taking both inquiries together, proper</w:t>
      </w:r>
      <w:r>
        <w:rPr>
          <w:rFonts w:ascii="Times New Roman" w:hAnsi="Times New Roman" w:cs="Times New Roman"/>
        </w:rPr>
        <w:t xml:space="preserve"> </w:t>
      </w:r>
      <w:r w:rsidRPr="006A7B51">
        <w:rPr>
          <w:rFonts w:ascii="Times New Roman" w:hAnsi="Times New Roman" w:cs="Times New Roman"/>
        </w:rPr>
        <w:t>interpretation and application of IHL necessitate the</w:t>
      </w:r>
      <w:r>
        <w:rPr>
          <w:rFonts w:ascii="Times New Roman" w:hAnsi="Times New Roman" w:cs="Times New Roman"/>
        </w:rPr>
        <w:t xml:space="preserve"> </w:t>
      </w:r>
      <w:r w:rsidRPr="006A7B51">
        <w:rPr>
          <w:rFonts w:ascii="Times New Roman" w:hAnsi="Times New Roman" w:cs="Times New Roman"/>
        </w:rPr>
        <w:t>conclusion that def</w:t>
      </w:r>
      <w:r>
        <w:rPr>
          <w:rFonts w:ascii="Times New Roman" w:hAnsi="Times New Roman" w:cs="Times New Roman"/>
        </w:rPr>
        <w:t xml:space="preserve">endant </w:t>
      </w:r>
      <w:r w:rsidRPr="006A7B51">
        <w:rPr>
          <w:rFonts w:ascii="Times New Roman" w:hAnsi="Times New Roman" w:cs="Times New Roman"/>
        </w:rPr>
        <w:t xml:space="preserve">Najibullah was an </w:t>
      </w:r>
      <w:r>
        <w:rPr>
          <w:rFonts w:ascii="Times New Roman" w:hAnsi="Times New Roman" w:cs="Times New Roman"/>
        </w:rPr>
        <w:t>u</w:t>
      </w:r>
      <w:r w:rsidRPr="006A7B51">
        <w:rPr>
          <w:rFonts w:ascii="Times New Roman" w:hAnsi="Times New Roman" w:cs="Times New Roman"/>
        </w:rPr>
        <w:t>nprivileged belligerent</w:t>
      </w:r>
      <w:r>
        <w:rPr>
          <w:rFonts w:ascii="Times New Roman" w:hAnsi="Times New Roman" w:cs="Times New Roman"/>
        </w:rPr>
        <w:t xml:space="preserve">, </w:t>
      </w:r>
      <w:r w:rsidRPr="006A7B51">
        <w:rPr>
          <w:rFonts w:ascii="Times New Roman" w:hAnsi="Times New Roman" w:cs="Times New Roman"/>
        </w:rPr>
        <w:t>acting under the authority of a non-state party to an NIAC</w:t>
      </w:r>
      <w:r>
        <w:rPr>
          <w:rFonts w:ascii="Times New Roman" w:hAnsi="Times New Roman" w:cs="Times New Roman"/>
        </w:rPr>
        <w:t xml:space="preserve"> </w:t>
      </w:r>
      <w:r w:rsidRPr="006A7B51">
        <w:rPr>
          <w:rFonts w:ascii="Times New Roman" w:hAnsi="Times New Roman" w:cs="Times New Roman"/>
        </w:rPr>
        <w:t>and t</w:t>
      </w:r>
      <w:r>
        <w:rPr>
          <w:rFonts w:ascii="Times New Roman" w:hAnsi="Times New Roman" w:cs="Times New Roman"/>
        </w:rPr>
        <w:t>h</w:t>
      </w:r>
      <w:r w:rsidRPr="006A7B51">
        <w:rPr>
          <w:rFonts w:ascii="Times New Roman" w:hAnsi="Times New Roman" w:cs="Times New Roman"/>
        </w:rPr>
        <w:t>us may be</w:t>
      </w:r>
      <w:r>
        <w:rPr>
          <w:rFonts w:ascii="Times New Roman" w:hAnsi="Times New Roman" w:cs="Times New Roman"/>
        </w:rPr>
        <w:t xml:space="preserve"> </w:t>
      </w:r>
      <w:r w:rsidRPr="006A7B51">
        <w:rPr>
          <w:rFonts w:ascii="Times New Roman" w:hAnsi="Times New Roman" w:cs="Times New Roman"/>
        </w:rPr>
        <w:t>properly prosecuted for allegedly orchestrating the armed attack on</w:t>
      </w:r>
      <w:r>
        <w:rPr>
          <w:rFonts w:ascii="Times New Roman" w:hAnsi="Times New Roman" w:cs="Times New Roman"/>
        </w:rPr>
        <w:t xml:space="preserve"> </w:t>
      </w:r>
      <w:r w:rsidRPr="006A7B51">
        <w:rPr>
          <w:rFonts w:ascii="Times New Roman" w:hAnsi="Times New Roman" w:cs="Times New Roman"/>
        </w:rPr>
        <w:t xml:space="preserve">and killing of </w:t>
      </w:r>
      <w:r>
        <w:rPr>
          <w:rFonts w:ascii="Times New Roman" w:hAnsi="Times New Roman" w:cs="Times New Roman"/>
        </w:rPr>
        <w:t>three</w:t>
      </w:r>
      <w:r w:rsidRPr="006A7B51">
        <w:rPr>
          <w:rFonts w:ascii="Times New Roman" w:hAnsi="Times New Roman" w:cs="Times New Roman"/>
        </w:rPr>
        <w:t xml:space="preserve"> privileged American Combatants belligerent</w:t>
      </w:r>
      <w:r>
        <w:rPr>
          <w:rFonts w:ascii="Times New Roman" w:hAnsi="Times New Roman" w:cs="Times New Roman"/>
        </w:rPr>
        <w:t>s</w:t>
      </w:r>
      <w:r w:rsidRPr="006A7B51">
        <w:rPr>
          <w:rFonts w:ascii="Times New Roman" w:hAnsi="Times New Roman" w:cs="Times New Roman"/>
        </w:rPr>
        <w:t>.</w:t>
      </w:r>
    </w:p>
    <w:p w14:paraId="162DA98A" w14:textId="77777777" w:rsidR="00C83DA2" w:rsidRDefault="00C83DA2" w:rsidP="00F4011E">
      <w:pPr>
        <w:ind w:firstLine="720"/>
      </w:pPr>
    </w:p>
    <w:sectPr w:rsidR="00C83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ACCA" w14:textId="77777777" w:rsidR="00630077" w:rsidRDefault="00630077" w:rsidP="007F0F6A">
      <w:r>
        <w:separator/>
      </w:r>
    </w:p>
  </w:endnote>
  <w:endnote w:type="continuationSeparator" w:id="0">
    <w:p w14:paraId="7329FCBA" w14:textId="77777777" w:rsidR="00630077" w:rsidRDefault="00630077" w:rsidP="007F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1A29D" w14:textId="77777777" w:rsidR="00630077" w:rsidRDefault="00630077" w:rsidP="007F0F6A">
      <w:r>
        <w:separator/>
      </w:r>
    </w:p>
  </w:footnote>
  <w:footnote w:type="continuationSeparator" w:id="0">
    <w:p w14:paraId="0E98370F" w14:textId="77777777" w:rsidR="00630077" w:rsidRDefault="00630077" w:rsidP="007F0F6A">
      <w:r>
        <w:continuationSeparator/>
      </w:r>
    </w:p>
  </w:footnote>
  <w:footnote w:id="1">
    <w:p w14:paraId="495A6571" w14:textId="77777777" w:rsidR="007F0F6A" w:rsidRPr="00371C8A" w:rsidRDefault="007F0F6A" w:rsidP="007F0F6A">
      <w:pPr>
        <w:spacing w:before="100" w:beforeAutospacing="1"/>
        <w:rPr>
          <w:rFonts w:ascii="Times New Roman" w:eastAsia="Times New Roman" w:hAnsi="Times New Roman" w:cs="Times New Roman"/>
          <w:kern w:val="0"/>
          <w:sz w:val="20"/>
          <w:szCs w:val="20"/>
          <w14:ligatures w14:val="none"/>
        </w:rPr>
      </w:pPr>
      <w:r w:rsidRPr="009E5ECC">
        <w:rPr>
          <w:rStyle w:val="FootnoteReference"/>
          <w:sz w:val="20"/>
          <w:szCs w:val="20"/>
        </w:rPr>
        <w:footnoteRef/>
      </w:r>
      <w:r w:rsidRPr="009E5ECC">
        <w:rPr>
          <w:sz w:val="20"/>
          <w:szCs w:val="20"/>
        </w:rPr>
        <w:t xml:space="preserve"> </w:t>
      </w:r>
      <w:r w:rsidRPr="009E5ECC">
        <w:rPr>
          <w:rFonts w:ascii="Times New Roman" w:eastAsia="Times New Roman" w:hAnsi="Times New Roman" w:cs="Times New Roman"/>
          <w:smallCaps/>
          <w:kern w:val="0"/>
          <w:sz w:val="20"/>
          <w:szCs w:val="20"/>
          <w14:ligatures w14:val="none"/>
        </w:rPr>
        <w:t>The Washington Post</w:t>
      </w:r>
      <w:r w:rsidRPr="009E5ECC">
        <w:rPr>
          <w:rFonts w:ascii="Times New Roman" w:eastAsia="Times New Roman" w:hAnsi="Times New Roman" w:cs="Times New Roman"/>
          <w:kern w:val="0"/>
          <w:sz w:val="20"/>
          <w:szCs w:val="20"/>
          <w14:ligatures w14:val="none"/>
        </w:rPr>
        <w:t xml:space="preserve">, </w:t>
      </w:r>
      <w:r w:rsidRPr="009E5ECC">
        <w:rPr>
          <w:rFonts w:ascii="Times New Roman" w:eastAsia="Times New Roman" w:hAnsi="Times New Roman" w:cs="Times New Roman"/>
          <w:i/>
          <w:iCs/>
          <w:kern w:val="0"/>
          <w:sz w:val="20"/>
          <w:szCs w:val="20"/>
          <w14:ligatures w14:val="none"/>
        </w:rPr>
        <w:t>Choice facing N.Y. judge: Does Taliban leader get war-related immunity?</w:t>
      </w:r>
      <w:r w:rsidRPr="009E5ECC">
        <w:rPr>
          <w:rFonts w:ascii="Times New Roman" w:eastAsia="Times New Roman" w:hAnsi="Times New Roman" w:cs="Times New Roman"/>
          <w:kern w:val="0"/>
          <w:sz w:val="20"/>
          <w:szCs w:val="20"/>
          <w14:ligatures w14:val="none"/>
        </w:rPr>
        <w:t xml:space="preserve">, </w:t>
      </w:r>
      <w:hyperlink r:id="rId1" w:history="1">
        <w:r w:rsidRPr="009E5ECC">
          <w:rPr>
            <w:rStyle w:val="Hyperlink"/>
            <w:rFonts w:ascii="Times New Roman" w:eastAsia="Times New Roman" w:hAnsi="Times New Roman" w:cs="Times New Roman"/>
            <w:kern w:val="0"/>
            <w:sz w:val="20"/>
            <w:szCs w:val="20"/>
            <w14:ligatures w14:val="none"/>
          </w:rPr>
          <w:t>https://www.washingtonpost.com/national-security/2024/09/01/taliban-najibullah-trial-wartime-immunity/</w:t>
        </w:r>
      </w:hyperlink>
      <w:r w:rsidRPr="009E5ECC">
        <w:rPr>
          <w:rFonts w:ascii="Times New Roman" w:eastAsia="Times New Roman" w:hAnsi="Times New Roman" w:cs="Times New Roman"/>
          <w:kern w:val="0"/>
          <w:sz w:val="20"/>
          <w:szCs w:val="20"/>
          <w14:ligatures w14:val="none"/>
        </w:rPr>
        <w:t xml:space="preserve"> (Sept. 1, </w:t>
      </w:r>
      <w:r w:rsidRPr="00371C8A">
        <w:rPr>
          <w:rFonts w:ascii="Times New Roman" w:eastAsia="Times New Roman" w:hAnsi="Times New Roman" w:cs="Times New Roman"/>
          <w:kern w:val="0"/>
          <w:sz w:val="20"/>
          <w:szCs w:val="20"/>
          <w14:ligatures w14:val="none"/>
        </w:rPr>
        <w:t>2024).</w:t>
      </w:r>
    </w:p>
  </w:footnote>
  <w:footnote w:id="2">
    <w:p w14:paraId="2BF28CB3" w14:textId="77777777" w:rsidR="007F0F6A" w:rsidRPr="00371C8A" w:rsidRDefault="007F0F6A" w:rsidP="007F0F6A">
      <w:pPr>
        <w:pStyle w:val="FootnoteText"/>
        <w:rPr>
          <w:rFonts w:ascii="Times New Roman" w:hAnsi="Times New Roman" w:cs="Times New Roman"/>
        </w:rPr>
      </w:pPr>
      <w:r w:rsidRPr="00371C8A">
        <w:rPr>
          <w:rStyle w:val="FootnoteReference"/>
          <w:rFonts w:ascii="Times New Roman" w:hAnsi="Times New Roman" w:cs="Times New Roman"/>
        </w:rPr>
        <w:footnoteRef/>
      </w:r>
      <w:r w:rsidRPr="00371C8A">
        <w:rPr>
          <w:rFonts w:ascii="Times New Roman" w:hAnsi="Times New Roman" w:cs="Times New Roman"/>
        </w:rPr>
        <w:t xml:space="preserve"> </w:t>
      </w:r>
      <w:r w:rsidRPr="00371C8A">
        <w:rPr>
          <w:rFonts w:ascii="Times New Roman" w:hAnsi="Times New Roman" w:cs="Times New Roman"/>
          <w:i/>
          <w:iCs/>
        </w:rPr>
        <w:t>Id</w:t>
      </w:r>
      <w:r w:rsidRPr="00371C8A">
        <w:rPr>
          <w:rFonts w:ascii="Times New Roman" w:hAnsi="Times New Roman" w:cs="Times New Roman"/>
        </w:rPr>
        <w:t xml:space="preserve">. </w:t>
      </w:r>
    </w:p>
  </w:footnote>
  <w:footnote w:id="3">
    <w:p w14:paraId="130C710B" w14:textId="77777777" w:rsidR="007F0F6A" w:rsidRPr="009305D0" w:rsidRDefault="007F0F6A" w:rsidP="007F0F6A">
      <w:pPr>
        <w:pStyle w:val="FootnoteText"/>
        <w:rPr>
          <w:rFonts w:ascii="Times New Roman" w:hAnsi="Times New Roman" w:cs="Times New Roman"/>
        </w:rPr>
      </w:pPr>
      <w:r w:rsidRPr="009305D0">
        <w:rPr>
          <w:rStyle w:val="FootnoteReference"/>
          <w:rFonts w:ascii="Times New Roman" w:hAnsi="Times New Roman" w:cs="Times New Roman"/>
        </w:rPr>
        <w:footnoteRef/>
      </w:r>
      <w:r w:rsidRPr="009305D0">
        <w:rPr>
          <w:rFonts w:ascii="Times New Roman" w:hAnsi="Times New Roman" w:cs="Times New Roman"/>
        </w:rPr>
        <w:t xml:space="preserve"> </w:t>
      </w:r>
      <w:r w:rsidRPr="009305D0">
        <w:rPr>
          <w:rFonts w:ascii="Times New Roman" w:hAnsi="Times New Roman" w:cs="Times New Roman"/>
          <w:i/>
          <w:iCs/>
        </w:rPr>
        <w:t>Id</w:t>
      </w:r>
      <w:r w:rsidRPr="009305D0">
        <w:rPr>
          <w:rFonts w:ascii="Times New Roman" w:hAnsi="Times New Roman" w:cs="Times New Roman"/>
        </w:rPr>
        <w:t>.</w:t>
      </w:r>
    </w:p>
  </w:footnote>
  <w:footnote w:id="4">
    <w:p w14:paraId="5F596772" w14:textId="77777777" w:rsidR="007F0F6A" w:rsidRPr="009305D0" w:rsidRDefault="007F0F6A" w:rsidP="007F0F6A">
      <w:pPr>
        <w:pStyle w:val="FootnoteText"/>
        <w:rPr>
          <w:rFonts w:ascii="Times New Roman" w:hAnsi="Times New Roman" w:cs="Times New Roman"/>
        </w:rPr>
      </w:pPr>
      <w:r w:rsidRPr="009305D0">
        <w:rPr>
          <w:rStyle w:val="FootnoteReference"/>
          <w:rFonts w:ascii="Times New Roman" w:hAnsi="Times New Roman" w:cs="Times New Roman"/>
        </w:rPr>
        <w:footnoteRef/>
      </w:r>
      <w:r w:rsidRPr="009305D0">
        <w:rPr>
          <w:rFonts w:ascii="Times New Roman" w:hAnsi="Times New Roman" w:cs="Times New Roman"/>
        </w:rPr>
        <w:t xml:space="preserve"> </w:t>
      </w:r>
      <w:r w:rsidRPr="009305D0">
        <w:rPr>
          <w:rFonts w:ascii="Times New Roman" w:hAnsi="Times New Roman" w:cs="Times New Roman"/>
          <w:i/>
          <w:iCs/>
        </w:rPr>
        <w:t>Id</w:t>
      </w:r>
      <w:r w:rsidRPr="009305D0">
        <w:rPr>
          <w:rFonts w:ascii="Times New Roman" w:hAnsi="Times New Roman" w:cs="Times New Roman"/>
        </w:rPr>
        <w:t>.</w:t>
      </w:r>
    </w:p>
  </w:footnote>
  <w:footnote w:id="5">
    <w:p w14:paraId="3C0B5CB3" w14:textId="77777777" w:rsidR="00C83DA2" w:rsidRPr="009305D0" w:rsidRDefault="00C83DA2" w:rsidP="00C83DA2">
      <w:pPr>
        <w:rPr>
          <w:rFonts w:ascii="Times New Roman" w:eastAsia="Times New Roman" w:hAnsi="Times New Roman" w:cs="Times New Roman"/>
          <w:kern w:val="0"/>
          <w:sz w:val="20"/>
          <w:szCs w:val="20"/>
          <w14:ligatures w14:val="none"/>
        </w:rPr>
      </w:pPr>
      <w:r w:rsidRPr="009305D0">
        <w:rPr>
          <w:rStyle w:val="FootnoteReference"/>
          <w:rFonts w:ascii="Times New Roman" w:hAnsi="Times New Roman" w:cs="Times New Roman"/>
          <w:sz w:val="20"/>
          <w:szCs w:val="20"/>
        </w:rPr>
        <w:footnoteRef/>
      </w:r>
      <w:r w:rsidRPr="009305D0">
        <w:rPr>
          <w:rFonts w:ascii="Times New Roman" w:hAnsi="Times New Roman" w:cs="Times New Roman"/>
          <w:sz w:val="20"/>
          <w:szCs w:val="20"/>
        </w:rPr>
        <w:t xml:space="preserve"> </w:t>
      </w:r>
      <w:r w:rsidRPr="009305D0">
        <w:rPr>
          <w:rFonts w:ascii="Times New Roman" w:eastAsia="Times New Roman" w:hAnsi="Times New Roman" w:cs="Times New Roman"/>
          <w:kern w:val="0"/>
          <w:sz w:val="20"/>
          <w:szCs w:val="20"/>
          <w14:ligatures w14:val="none"/>
        </w:rPr>
        <w:t xml:space="preserve">International Committee of the Red Cross (ICRC), </w:t>
      </w:r>
      <w:r w:rsidRPr="009305D0">
        <w:rPr>
          <w:rFonts w:ascii="Times New Roman" w:eastAsia="Times New Roman" w:hAnsi="Times New Roman" w:cs="Times New Roman"/>
          <w:i/>
          <w:iCs/>
          <w:kern w:val="0"/>
          <w:sz w:val="20"/>
          <w:szCs w:val="20"/>
          <w14:ligatures w14:val="none"/>
        </w:rPr>
        <w:t>Geneva Convention Relative to the Treatment of Prisoners of War (Third Geneva Convention)</w:t>
      </w:r>
      <w:r w:rsidRPr="009305D0">
        <w:rPr>
          <w:rFonts w:ascii="Times New Roman" w:eastAsia="Times New Roman" w:hAnsi="Times New Roman" w:cs="Times New Roman"/>
          <w:kern w:val="0"/>
          <w:sz w:val="20"/>
          <w:szCs w:val="20"/>
          <w14:ligatures w14:val="none"/>
        </w:rPr>
        <w:t>, 75 UNTS 135, 12 August 1949.</w:t>
      </w:r>
    </w:p>
  </w:footnote>
  <w:footnote w:id="6">
    <w:p w14:paraId="1AF017BF" w14:textId="77777777" w:rsidR="00C83DA2" w:rsidRPr="009305D0" w:rsidRDefault="00C83DA2" w:rsidP="00C83DA2">
      <w:pPr>
        <w:rPr>
          <w:rFonts w:ascii="Times New Roman" w:eastAsia="Times New Roman" w:hAnsi="Times New Roman" w:cs="Times New Roman"/>
          <w:kern w:val="0"/>
          <w:sz w:val="20"/>
          <w:szCs w:val="20"/>
          <w14:ligatures w14:val="none"/>
        </w:rPr>
      </w:pPr>
      <w:r>
        <w:rPr>
          <w:rStyle w:val="FootnoteReference"/>
        </w:rPr>
        <w:footnoteRef/>
      </w:r>
      <w:r>
        <w:t xml:space="preserve"> </w:t>
      </w:r>
      <w:r w:rsidRPr="009305D0">
        <w:rPr>
          <w:rFonts w:ascii="Times New Roman" w:eastAsia="Times New Roman" w:hAnsi="Times New Roman" w:cs="Times New Roman"/>
          <w:kern w:val="0"/>
          <w:sz w:val="20"/>
          <w:szCs w:val="20"/>
          <w14:ligatures w14:val="none"/>
        </w:rPr>
        <w:t>Hearing Transcript</w:t>
      </w:r>
      <w:r>
        <w:rPr>
          <w:rFonts w:ascii="Times New Roman" w:eastAsia="Times New Roman" w:hAnsi="Times New Roman" w:cs="Times New Roman"/>
          <w:kern w:val="0"/>
          <w:sz w:val="20"/>
          <w:szCs w:val="20"/>
          <w14:ligatures w14:val="none"/>
        </w:rPr>
        <w:t xml:space="preserve">, </w:t>
      </w:r>
      <w:r w:rsidRPr="009305D0">
        <w:rPr>
          <w:rFonts w:ascii="Times New Roman" w:eastAsia="Times New Roman" w:hAnsi="Times New Roman" w:cs="Times New Roman"/>
          <w:kern w:val="0"/>
          <w:sz w:val="20"/>
          <w:szCs w:val="20"/>
          <w14:ligatures w14:val="none"/>
        </w:rPr>
        <w:t xml:space="preserve">United States v. Najibullah, 14 Cr. 401(KPF) (2024). </w:t>
      </w:r>
    </w:p>
  </w:footnote>
  <w:footnote w:id="7">
    <w:p w14:paraId="07CBB044" w14:textId="77777777" w:rsidR="00C83DA2" w:rsidRPr="009C7D81" w:rsidRDefault="00C83DA2" w:rsidP="00C83DA2">
      <w:pPr>
        <w:pStyle w:val="FootnoteText"/>
        <w:rPr>
          <w:rFonts w:ascii="Times New Roman" w:hAnsi="Times New Roman" w:cs="Times New Roman"/>
        </w:rPr>
      </w:pPr>
      <w:r>
        <w:rPr>
          <w:rStyle w:val="FootnoteReference"/>
        </w:rPr>
        <w:footnoteRef/>
      </w:r>
      <w:r>
        <w:t xml:space="preserve"> </w:t>
      </w:r>
      <w:r w:rsidRPr="009C7D81">
        <w:rPr>
          <w:rFonts w:ascii="Times New Roman" w:hAnsi="Times New Roman" w:cs="Times New Roman"/>
          <w:i/>
          <w:iCs/>
        </w:rPr>
        <w:t>Id</w:t>
      </w:r>
      <w:r w:rsidRPr="009C7D81">
        <w:rPr>
          <w:rFonts w:ascii="Times New Roman" w:hAnsi="Times New Roman" w:cs="Times New Roman"/>
        </w:rPr>
        <w:t>.</w:t>
      </w:r>
    </w:p>
  </w:footnote>
  <w:footnote w:id="8">
    <w:p w14:paraId="2C35C4D2" w14:textId="77777777" w:rsidR="00C83DA2" w:rsidRPr="009C7D81" w:rsidRDefault="00C83DA2" w:rsidP="00C83DA2">
      <w:pPr>
        <w:pStyle w:val="FootnoteText"/>
        <w:rPr>
          <w:rFonts w:ascii="Times New Roman" w:hAnsi="Times New Roman" w:cs="Times New Roman"/>
        </w:rPr>
      </w:pPr>
      <w:r w:rsidRPr="009C7D81">
        <w:rPr>
          <w:rStyle w:val="FootnoteReference"/>
          <w:rFonts w:ascii="Times New Roman" w:hAnsi="Times New Roman" w:cs="Times New Roman"/>
        </w:rPr>
        <w:footnoteRef/>
      </w:r>
      <w:r w:rsidRPr="009C7D81">
        <w:rPr>
          <w:rFonts w:ascii="Times New Roman" w:hAnsi="Times New Roman" w:cs="Times New Roman"/>
        </w:rPr>
        <w:t xml:space="preserve"> </w:t>
      </w:r>
      <w:r w:rsidRPr="00B475B3">
        <w:rPr>
          <w:rFonts w:ascii="Times New Roman" w:hAnsi="Times New Roman" w:cs="Times New Roman"/>
          <w:i/>
          <w:iCs/>
        </w:rPr>
        <w:t>Supra</w:t>
      </w:r>
      <w:r w:rsidRPr="009C7D81">
        <w:rPr>
          <w:rFonts w:ascii="Times New Roman" w:hAnsi="Times New Roman" w:cs="Times New Roman"/>
        </w:rPr>
        <w:t xml:space="preserve"> note 5</w:t>
      </w:r>
      <w:r>
        <w:rPr>
          <w:rFonts w:ascii="Times New Roman" w:hAnsi="Times New Roman" w:cs="Times New Roman"/>
        </w:rPr>
        <w:t>.</w:t>
      </w:r>
    </w:p>
  </w:footnote>
  <w:footnote w:id="9">
    <w:p w14:paraId="25CC74E6" w14:textId="77777777" w:rsidR="00C83DA2" w:rsidRPr="00B475B3" w:rsidRDefault="00C83DA2" w:rsidP="00C83DA2">
      <w:pPr>
        <w:pStyle w:val="FootnoteText"/>
        <w:rPr>
          <w:rFonts w:ascii="Times New Roman" w:hAnsi="Times New Roman" w:cs="Times New Roman"/>
        </w:rPr>
      </w:pPr>
      <w:r w:rsidRPr="00B475B3">
        <w:rPr>
          <w:rStyle w:val="FootnoteReference"/>
          <w:rFonts w:ascii="Times New Roman" w:hAnsi="Times New Roman" w:cs="Times New Roman"/>
        </w:rPr>
        <w:footnoteRef/>
      </w:r>
      <w:r w:rsidRPr="00B475B3">
        <w:rPr>
          <w:rFonts w:ascii="Times New Roman" w:hAnsi="Times New Roman" w:cs="Times New Roman"/>
        </w:rPr>
        <w:t xml:space="preserve"> </w:t>
      </w:r>
      <w:r w:rsidRPr="00B475B3">
        <w:rPr>
          <w:rFonts w:ascii="Times New Roman" w:hAnsi="Times New Roman" w:cs="Times New Roman"/>
          <w:i/>
          <w:iCs/>
        </w:rPr>
        <w:t>Supra</w:t>
      </w:r>
      <w:r w:rsidRPr="00B475B3">
        <w:rPr>
          <w:rFonts w:ascii="Times New Roman" w:hAnsi="Times New Roman" w:cs="Times New Roman"/>
        </w:rPr>
        <w:t xml:space="preserve"> note 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87A19"/>
    <w:multiLevelType w:val="multilevel"/>
    <w:tmpl w:val="E236C380"/>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955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F1"/>
    <w:rsid w:val="000567A7"/>
    <w:rsid w:val="00274F0F"/>
    <w:rsid w:val="00412AFA"/>
    <w:rsid w:val="00494AFF"/>
    <w:rsid w:val="00521DF1"/>
    <w:rsid w:val="00541B3E"/>
    <w:rsid w:val="005A7016"/>
    <w:rsid w:val="00630077"/>
    <w:rsid w:val="007051CD"/>
    <w:rsid w:val="007F0F6A"/>
    <w:rsid w:val="00854954"/>
    <w:rsid w:val="008F5205"/>
    <w:rsid w:val="00A02498"/>
    <w:rsid w:val="00A12E7C"/>
    <w:rsid w:val="00AB1F88"/>
    <w:rsid w:val="00C83DA2"/>
    <w:rsid w:val="00D71A1D"/>
    <w:rsid w:val="00E638F1"/>
    <w:rsid w:val="00F4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B2D251"/>
  <w15:chartTrackingRefBased/>
  <w15:docId w15:val="{5328C57C-9A1A-EF48-868E-EB6DC4DC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6A"/>
  </w:style>
  <w:style w:type="paragraph" w:styleId="Heading1">
    <w:name w:val="heading 1"/>
    <w:next w:val="Normal"/>
    <w:link w:val="Heading1Char"/>
    <w:autoRedefine/>
    <w:uiPriority w:val="9"/>
    <w:qFormat/>
    <w:rsid w:val="00541B3E"/>
    <w:pPr>
      <w:keepNext/>
      <w:keepLines/>
      <w:spacing w:after="110" w:line="265" w:lineRule="auto"/>
      <w:ind w:left="10" w:hanging="10"/>
      <w:jc w:val="center"/>
      <w:outlineLvl w:val="0"/>
    </w:pPr>
    <w:rPr>
      <w:rFonts w:ascii="Times New Roman" w:eastAsia="Times New Roman" w:hAnsi="Times New Roman" w:cs="Times New Roman"/>
      <w:b/>
      <w:color w:val="000000" w:themeColor="text1"/>
      <w:sz w:val="32"/>
    </w:rPr>
  </w:style>
  <w:style w:type="paragraph" w:styleId="Heading2">
    <w:name w:val="heading 2"/>
    <w:next w:val="Normal"/>
    <w:link w:val="Heading2Char"/>
    <w:autoRedefine/>
    <w:uiPriority w:val="9"/>
    <w:unhideWhenUsed/>
    <w:qFormat/>
    <w:rsid w:val="00541B3E"/>
    <w:pPr>
      <w:keepNext/>
      <w:keepLines/>
      <w:spacing w:after="110" w:line="265" w:lineRule="auto"/>
      <w:ind w:left="10" w:hanging="10"/>
      <w:outlineLvl w:val="1"/>
    </w:pPr>
    <w:rPr>
      <w:rFonts w:ascii="Times New Roman" w:eastAsia="Times New Roman" w:hAnsi="Times New Roman" w:cs="Times New Roman"/>
      <w:b/>
      <w:color w:val="002060"/>
      <w:sz w:val="28"/>
    </w:rPr>
  </w:style>
  <w:style w:type="paragraph" w:styleId="Heading3">
    <w:name w:val="heading 3"/>
    <w:basedOn w:val="Normal"/>
    <w:next w:val="Normal"/>
    <w:link w:val="Heading3Char"/>
    <w:autoRedefine/>
    <w:uiPriority w:val="9"/>
    <w:unhideWhenUsed/>
    <w:qFormat/>
    <w:rsid w:val="00541B3E"/>
    <w:pPr>
      <w:keepNext/>
      <w:keepLines/>
      <w:spacing w:before="40" w:line="259" w:lineRule="auto"/>
      <w:outlineLvl w:val="2"/>
    </w:pPr>
    <w:rPr>
      <w:rFonts w:ascii="Times New Roman" w:eastAsiaTheme="majorEastAsia" w:hAnsi="Times New Roman" w:cstheme="majorBidi"/>
      <w:b/>
      <w:color w:val="000000" w:themeColor="text1"/>
    </w:rPr>
  </w:style>
  <w:style w:type="paragraph" w:styleId="Heading4">
    <w:name w:val="heading 4"/>
    <w:basedOn w:val="Normal"/>
    <w:next w:val="Normal"/>
    <w:link w:val="Heading4Char"/>
    <w:uiPriority w:val="9"/>
    <w:semiHidden/>
    <w:unhideWhenUsed/>
    <w:qFormat/>
    <w:rsid w:val="00E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854954"/>
    <w:rPr>
      <w:rFonts w:ascii="Times New Roman" w:hAnsi="Times New Roman"/>
      <w:vertAlign w:val="superscript"/>
    </w:rPr>
  </w:style>
  <w:style w:type="character" w:customStyle="1" w:styleId="Heading1Char">
    <w:name w:val="Heading 1 Char"/>
    <w:basedOn w:val="DefaultParagraphFont"/>
    <w:link w:val="Heading1"/>
    <w:uiPriority w:val="9"/>
    <w:rsid w:val="00541B3E"/>
    <w:rPr>
      <w:rFonts w:ascii="Times New Roman" w:eastAsia="Times New Roman" w:hAnsi="Times New Roman" w:cs="Times New Roman"/>
      <w:b/>
      <w:color w:val="000000" w:themeColor="text1"/>
      <w:sz w:val="32"/>
    </w:rPr>
  </w:style>
  <w:style w:type="character" w:customStyle="1" w:styleId="Heading2Char">
    <w:name w:val="Heading 2 Char"/>
    <w:basedOn w:val="DefaultParagraphFont"/>
    <w:link w:val="Heading2"/>
    <w:uiPriority w:val="9"/>
    <w:rsid w:val="00541B3E"/>
    <w:rPr>
      <w:rFonts w:ascii="Times New Roman" w:eastAsia="Times New Roman" w:hAnsi="Times New Roman" w:cs="Times New Roman"/>
      <w:b/>
      <w:color w:val="002060"/>
      <w:sz w:val="28"/>
    </w:rPr>
  </w:style>
  <w:style w:type="character" w:customStyle="1" w:styleId="Heading3Char">
    <w:name w:val="Heading 3 Char"/>
    <w:basedOn w:val="DefaultParagraphFont"/>
    <w:link w:val="Heading3"/>
    <w:uiPriority w:val="9"/>
    <w:rsid w:val="00541B3E"/>
    <w:rPr>
      <w:rFonts w:ascii="Times New Roman" w:eastAsiaTheme="majorEastAsia" w:hAnsi="Times New Roman" w:cstheme="majorBidi"/>
      <w:b/>
      <w:color w:val="000000" w:themeColor="text1"/>
    </w:rPr>
  </w:style>
  <w:style w:type="numbering" w:customStyle="1" w:styleId="Style1">
    <w:name w:val="Style1"/>
    <w:uiPriority w:val="99"/>
    <w:rsid w:val="00541B3E"/>
    <w:pPr>
      <w:numPr>
        <w:numId w:val="1"/>
      </w:numPr>
    </w:pPr>
  </w:style>
  <w:style w:type="paragraph" w:styleId="TOC4">
    <w:name w:val="toc 4"/>
    <w:basedOn w:val="Normal"/>
    <w:next w:val="Normal"/>
    <w:autoRedefine/>
    <w:uiPriority w:val="39"/>
    <w:semiHidden/>
    <w:unhideWhenUsed/>
    <w:qFormat/>
    <w:rsid w:val="00274F0F"/>
    <w:rPr>
      <w:rFonts w:ascii="Times New Roman" w:hAnsi="Times New Roman" w:cstheme="minorHAnsi"/>
      <w:sz w:val="22"/>
      <w:szCs w:val="22"/>
    </w:rPr>
  </w:style>
  <w:style w:type="paragraph" w:styleId="TOC3">
    <w:name w:val="toc 3"/>
    <w:basedOn w:val="Normal"/>
    <w:next w:val="Normal"/>
    <w:autoRedefine/>
    <w:uiPriority w:val="39"/>
    <w:unhideWhenUsed/>
    <w:qFormat/>
    <w:rsid w:val="00274F0F"/>
    <w:rPr>
      <w:rFonts w:ascii="Times New Roman" w:hAnsi="Times New Roman" w:cstheme="minorHAnsi"/>
      <w:smallCaps/>
      <w:sz w:val="22"/>
      <w:szCs w:val="22"/>
    </w:rPr>
  </w:style>
  <w:style w:type="paragraph" w:styleId="TOC2">
    <w:name w:val="toc 2"/>
    <w:basedOn w:val="Normal"/>
    <w:next w:val="Normal"/>
    <w:autoRedefine/>
    <w:uiPriority w:val="39"/>
    <w:unhideWhenUsed/>
    <w:qFormat/>
    <w:rsid w:val="00274F0F"/>
    <w:rPr>
      <w:rFonts w:ascii="Times New Roman" w:hAnsi="Times New Roman" w:cstheme="minorHAnsi"/>
      <w:b/>
      <w:bCs/>
      <w:smallCaps/>
      <w:sz w:val="22"/>
      <w:szCs w:val="22"/>
    </w:rPr>
  </w:style>
  <w:style w:type="paragraph" w:styleId="TOC1">
    <w:name w:val="toc 1"/>
    <w:basedOn w:val="Normal"/>
    <w:next w:val="Normal"/>
    <w:autoRedefine/>
    <w:uiPriority w:val="39"/>
    <w:unhideWhenUsed/>
    <w:qFormat/>
    <w:rsid w:val="00274F0F"/>
    <w:pPr>
      <w:spacing w:before="360" w:after="360"/>
    </w:pPr>
    <w:rPr>
      <w:rFonts w:ascii="Times New Roman" w:hAnsi="Times New Roman" w:cstheme="minorHAnsi"/>
      <w:b/>
      <w:bCs/>
      <w:caps/>
      <w:sz w:val="22"/>
      <w:szCs w:val="22"/>
      <w:u w:val="single"/>
    </w:rPr>
  </w:style>
  <w:style w:type="character" w:customStyle="1" w:styleId="Heading4Char">
    <w:name w:val="Heading 4 Char"/>
    <w:basedOn w:val="DefaultParagraphFont"/>
    <w:link w:val="Heading4"/>
    <w:uiPriority w:val="9"/>
    <w:semiHidden/>
    <w:rsid w:val="00E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8F1"/>
    <w:rPr>
      <w:rFonts w:eastAsiaTheme="majorEastAsia" w:cstheme="majorBidi"/>
      <w:color w:val="272727" w:themeColor="text1" w:themeTint="D8"/>
    </w:rPr>
  </w:style>
  <w:style w:type="paragraph" w:styleId="Title">
    <w:name w:val="Title"/>
    <w:basedOn w:val="Normal"/>
    <w:next w:val="Normal"/>
    <w:link w:val="TitleChar"/>
    <w:uiPriority w:val="10"/>
    <w:qFormat/>
    <w:rsid w:val="00E638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8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38F1"/>
    <w:rPr>
      <w:i/>
      <w:iCs/>
      <w:color w:val="404040" w:themeColor="text1" w:themeTint="BF"/>
    </w:rPr>
  </w:style>
  <w:style w:type="paragraph" w:styleId="ListParagraph">
    <w:name w:val="List Paragraph"/>
    <w:basedOn w:val="Normal"/>
    <w:uiPriority w:val="34"/>
    <w:qFormat/>
    <w:rsid w:val="00E638F1"/>
    <w:pPr>
      <w:ind w:left="720"/>
      <w:contextualSpacing/>
    </w:pPr>
  </w:style>
  <w:style w:type="character" w:styleId="IntenseEmphasis">
    <w:name w:val="Intense Emphasis"/>
    <w:basedOn w:val="DefaultParagraphFont"/>
    <w:uiPriority w:val="21"/>
    <w:qFormat/>
    <w:rsid w:val="00E638F1"/>
    <w:rPr>
      <w:i/>
      <w:iCs/>
      <w:color w:val="0F4761" w:themeColor="accent1" w:themeShade="BF"/>
    </w:rPr>
  </w:style>
  <w:style w:type="paragraph" w:styleId="IntenseQuote">
    <w:name w:val="Intense Quote"/>
    <w:basedOn w:val="Normal"/>
    <w:next w:val="Normal"/>
    <w:link w:val="IntenseQuoteChar"/>
    <w:uiPriority w:val="30"/>
    <w:qFormat/>
    <w:rsid w:val="00E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8F1"/>
    <w:rPr>
      <w:i/>
      <w:iCs/>
      <w:color w:val="0F4761" w:themeColor="accent1" w:themeShade="BF"/>
    </w:rPr>
  </w:style>
  <w:style w:type="character" w:styleId="IntenseReference">
    <w:name w:val="Intense Reference"/>
    <w:basedOn w:val="DefaultParagraphFont"/>
    <w:uiPriority w:val="32"/>
    <w:qFormat/>
    <w:rsid w:val="00E638F1"/>
    <w:rPr>
      <w:b/>
      <w:bCs/>
      <w:smallCaps/>
      <w:color w:val="0F4761" w:themeColor="accent1" w:themeShade="BF"/>
      <w:spacing w:val="5"/>
    </w:rPr>
  </w:style>
  <w:style w:type="character" w:styleId="Hyperlink">
    <w:name w:val="Hyperlink"/>
    <w:basedOn w:val="DefaultParagraphFont"/>
    <w:uiPriority w:val="99"/>
    <w:unhideWhenUsed/>
    <w:rsid w:val="007F0F6A"/>
    <w:rPr>
      <w:color w:val="467886" w:themeColor="hyperlink"/>
      <w:u w:val="single"/>
    </w:rPr>
  </w:style>
  <w:style w:type="paragraph" w:styleId="FootnoteText">
    <w:name w:val="footnote text"/>
    <w:basedOn w:val="Normal"/>
    <w:link w:val="FootnoteTextChar"/>
    <w:uiPriority w:val="99"/>
    <w:semiHidden/>
    <w:unhideWhenUsed/>
    <w:rsid w:val="007F0F6A"/>
    <w:rPr>
      <w:sz w:val="20"/>
      <w:szCs w:val="20"/>
    </w:rPr>
  </w:style>
  <w:style w:type="character" w:customStyle="1" w:styleId="FootnoteTextChar">
    <w:name w:val="Footnote Text Char"/>
    <w:basedOn w:val="DefaultParagraphFont"/>
    <w:link w:val="FootnoteText"/>
    <w:uiPriority w:val="99"/>
    <w:semiHidden/>
    <w:rsid w:val="007F0F6A"/>
    <w:rPr>
      <w:sz w:val="20"/>
      <w:szCs w:val="20"/>
    </w:rPr>
  </w:style>
  <w:style w:type="character" w:styleId="FootnoteReference">
    <w:name w:val="footnote reference"/>
    <w:basedOn w:val="DefaultParagraphFont"/>
    <w:uiPriority w:val="99"/>
    <w:semiHidden/>
    <w:unhideWhenUsed/>
    <w:rsid w:val="007F0F6A"/>
    <w:rPr>
      <w:vertAlign w:val="superscript"/>
    </w:rPr>
  </w:style>
  <w:style w:type="character" w:styleId="CommentReference">
    <w:name w:val="annotation reference"/>
    <w:basedOn w:val="DefaultParagraphFont"/>
    <w:uiPriority w:val="99"/>
    <w:semiHidden/>
    <w:unhideWhenUsed/>
    <w:rsid w:val="00C83D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washingtonpost.com/national-security/2024/09/01/taliban-najibullah-trial-wartime-i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Sood</dc:creator>
  <cp:keywords/>
  <dc:description/>
  <cp:lastModifiedBy>Maya Sood</cp:lastModifiedBy>
  <cp:revision>2</cp:revision>
  <dcterms:created xsi:type="dcterms:W3CDTF">2024-11-20T07:04:00Z</dcterms:created>
  <dcterms:modified xsi:type="dcterms:W3CDTF">2024-11-20T07:04:00Z</dcterms:modified>
</cp:coreProperties>
</file>