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CF210" w14:textId="4990EDE6" w:rsidR="007E6BBF" w:rsidRDefault="00791260" w:rsidP="007E6BBF">
      <w:pPr>
        <w:jc w:val="center"/>
      </w:pPr>
      <w:r>
        <w:t>Incoterms</w:t>
      </w:r>
      <w:r w:rsidR="00D00232">
        <w:t xml:space="preserve">, </w:t>
      </w:r>
      <w:r>
        <w:t>A</w:t>
      </w:r>
      <w:r w:rsidR="007E6BBF">
        <w:t>rtificial Intelligence</w:t>
      </w:r>
      <w:r w:rsidR="00D00232">
        <w:t>, and the Future of International Trade Negotiations</w:t>
      </w:r>
    </w:p>
    <w:p w14:paraId="15F6A497" w14:textId="77777777" w:rsidR="007E6BBF" w:rsidRDefault="007E6BBF" w:rsidP="007E6BBF"/>
    <w:p w14:paraId="30C43D7E" w14:textId="48C019B9" w:rsidR="00337FF1" w:rsidRDefault="009E733A" w:rsidP="007E6BBF">
      <w:pPr>
        <w:spacing w:line="480" w:lineRule="auto"/>
        <w:ind w:firstLine="720"/>
      </w:pPr>
      <w:r w:rsidRPr="009E733A">
        <w:t>Artificial Intelligence (AI) will transform international transactional contract negotiations by empowering unsophisticated parties to optimize contractual language, reducing compliance risks and enhancing efficiency</w:t>
      </w:r>
      <w:r w:rsidR="007E6BBF">
        <w:t xml:space="preserve">. </w:t>
      </w:r>
      <w:r w:rsidR="00337FF1">
        <w:t xml:space="preserve">Contracts can be as simple as a verbal agreement to pay $3.65 for a Caffè Misto at your local </w:t>
      </w:r>
      <w:r w:rsidR="005D61ED">
        <w:t>Starbucks. In globaliz</w:t>
      </w:r>
      <w:r w:rsidR="000524C2">
        <w:t>ed businesses,</w:t>
      </w:r>
      <w:r w:rsidR="005D61ED">
        <w:t xml:space="preserve"> contracts can also take on the complexity of cross</w:t>
      </w:r>
      <w:r w:rsidR="00F007DC">
        <w:t>-</w:t>
      </w:r>
      <w:r w:rsidR="005D61ED">
        <w:t>border international transactions.</w:t>
      </w:r>
      <w:r w:rsidR="005D61ED">
        <w:rPr>
          <w:rStyle w:val="EndnoteReference"/>
        </w:rPr>
        <w:endnoteReference w:id="1"/>
      </w:r>
      <w:r w:rsidR="005D61ED">
        <w:t xml:space="preserve"> </w:t>
      </w:r>
      <w:r w:rsidR="007E6BBF">
        <w:t>The objective theory of assent requires contracting parties to meticulously detail the allocation of responsibilities and liabilities inherent in international trade</w:t>
      </w:r>
      <w:r w:rsidR="000524C2">
        <w:t>.</w:t>
      </w:r>
      <w:r w:rsidR="000524C2">
        <w:rPr>
          <w:rStyle w:val="EndnoteReference"/>
        </w:rPr>
        <w:endnoteReference w:id="2"/>
      </w:r>
      <w:r w:rsidR="000524C2">
        <w:t xml:space="preserve"> As documents get longer and more complex, the legal expert</w:t>
      </w:r>
      <w:r w:rsidR="00693601">
        <w:t>-</w:t>
      </w:r>
      <w:r w:rsidR="000524C2">
        <w:t>driven negotiation</w:t>
      </w:r>
      <w:r w:rsidR="00F20FC4">
        <w:t>s</w:t>
      </w:r>
      <w:r w:rsidR="000524C2">
        <w:t xml:space="preserve"> get more expensive and </w:t>
      </w:r>
      <w:r w:rsidR="00F20FC4">
        <w:t>are</w:t>
      </w:r>
      <w:r w:rsidR="000524C2">
        <w:t xml:space="preserve"> more likely to include </w:t>
      </w:r>
      <w:r w:rsidR="00CC495E">
        <w:t>misunderstandings</w:t>
      </w:r>
      <w:r w:rsidR="007E6BBF">
        <w:t>—</w:t>
      </w:r>
      <w:r w:rsidR="00F20FC4">
        <w:t>or fall through altogether</w:t>
      </w:r>
      <w:r w:rsidR="000524C2">
        <w:t>.</w:t>
      </w:r>
      <w:r w:rsidR="00F20FC4">
        <w:rPr>
          <w:rStyle w:val="EndnoteReference"/>
        </w:rPr>
        <w:endnoteReference w:id="3"/>
      </w:r>
    </w:p>
    <w:p w14:paraId="418D8E62" w14:textId="1868B502" w:rsidR="00EB2712" w:rsidRDefault="00F20FC4" w:rsidP="001C3D2A">
      <w:pPr>
        <w:spacing w:line="480" w:lineRule="auto"/>
      </w:pPr>
      <w:r>
        <w:tab/>
        <w:t>The International Chamber of Commerce (ICC) sought to simplify the negotiation of cross-border transactions by creating Incoterms, a set of discrete pre-negotiated distributions of cross-border responsibilities and liabilities.</w:t>
      </w:r>
      <w:r>
        <w:rPr>
          <w:rStyle w:val="EndnoteReference"/>
        </w:rPr>
        <w:endnoteReference w:id="4"/>
      </w:r>
      <w:r>
        <w:t xml:space="preserve"> For example, by listing the  Incoterm “DDP</w:t>
      </w:r>
      <w:r w:rsidR="00E8317A">
        <w:t xml:space="preserve"> Incoterms</w:t>
      </w:r>
      <w:r w:rsidR="00EB2712">
        <w:t xml:space="preserve"> 2020</w:t>
      </w:r>
      <w:r>
        <w:t>” in a contract</w:t>
      </w:r>
      <w:r w:rsidR="00693601">
        <w:t>,</w:t>
      </w:r>
      <w:r>
        <w:t xml:space="preserve"> the parties a</w:t>
      </w:r>
      <w:r w:rsidR="000831A5">
        <w:t>gree</w:t>
      </w:r>
      <w:r>
        <w:t xml:space="preserve"> </w:t>
      </w:r>
      <w:r w:rsidR="00693601">
        <w:t xml:space="preserve">to </w:t>
      </w:r>
      <w:r>
        <w:t xml:space="preserve">a very specific arrangement where, among other things, the seller </w:t>
      </w:r>
      <w:r w:rsidR="00693601">
        <w:t>agrees</w:t>
      </w:r>
      <w:r>
        <w:t xml:space="preserve"> to pay for duties and import clearances.</w:t>
      </w:r>
      <w:r w:rsidR="00EB2712">
        <w:rPr>
          <w:rStyle w:val="EndnoteReference"/>
        </w:rPr>
        <w:endnoteReference w:id="5"/>
      </w:r>
      <w:r>
        <w:t xml:space="preserve"> </w:t>
      </w:r>
      <w:r w:rsidR="00EB2712">
        <w:t>Prior to Incoterms, this arrangement would have taken several pa</w:t>
      </w:r>
      <w:r w:rsidR="00E8317A">
        <w:t>ges</w:t>
      </w:r>
      <w:r w:rsidR="00EB2712">
        <w:t xml:space="preserve"> to </w:t>
      </w:r>
      <w:r w:rsidR="00693601">
        <w:t>describe contractually</w:t>
      </w:r>
      <w:r w:rsidR="00EB2712">
        <w:t>.</w:t>
      </w:r>
      <w:r w:rsidR="00EB2712">
        <w:rPr>
          <w:rStyle w:val="EndnoteReference"/>
        </w:rPr>
        <w:endnoteReference w:id="6"/>
      </w:r>
      <w:r w:rsidR="00EB2712">
        <w:t xml:space="preserve"> </w:t>
      </w:r>
    </w:p>
    <w:p w14:paraId="5A0EA927" w14:textId="288563E4" w:rsidR="00F20FC4" w:rsidRDefault="00EB2712" w:rsidP="00EB2712">
      <w:pPr>
        <w:spacing w:line="480" w:lineRule="auto"/>
        <w:ind w:firstLine="720"/>
      </w:pPr>
      <w:r>
        <w:t>Under Incoterms, parties can argue for which Incoterm is most appropriate rather than arguing over the</w:t>
      </w:r>
      <w:r w:rsidR="000831A5">
        <w:t xml:space="preserve"> specific</w:t>
      </w:r>
      <w:r>
        <w:t xml:space="preserve"> legal verbiage of a contract.</w:t>
      </w:r>
      <w:r>
        <w:rPr>
          <w:rStyle w:val="EndnoteReference"/>
        </w:rPr>
        <w:endnoteReference w:id="7"/>
      </w:r>
      <w:r>
        <w:t xml:space="preserve"> This provides three advantages: (1) standardization, (2) </w:t>
      </w:r>
      <w:r w:rsidR="00E8317A">
        <w:t xml:space="preserve">efficiency, </w:t>
      </w:r>
      <w:r w:rsidR="00693601">
        <w:t xml:space="preserve">and </w:t>
      </w:r>
      <w:r w:rsidR="00E8317A">
        <w:t>(3) simplification of the negotiation process.</w:t>
      </w:r>
      <w:r w:rsidR="00E8317A">
        <w:rPr>
          <w:rStyle w:val="EndnoteReference"/>
        </w:rPr>
        <w:endnoteReference w:id="8"/>
      </w:r>
      <w:r w:rsidR="00E8317A">
        <w:t xml:space="preserve"> Of </w:t>
      </w:r>
      <w:r w:rsidR="000831A5">
        <w:t>note</w:t>
      </w:r>
      <w:r w:rsidR="00E8317A">
        <w:t xml:space="preserve"> is the simplification of the negotiation process because it allows unsophisticated parties to participate.</w:t>
      </w:r>
      <w:r w:rsidR="00E8317A">
        <w:rPr>
          <w:rStyle w:val="EndnoteReference"/>
        </w:rPr>
        <w:endnoteReference w:id="9"/>
      </w:r>
      <w:r w:rsidR="00E8317A">
        <w:t xml:space="preserve"> </w:t>
      </w:r>
    </w:p>
    <w:p w14:paraId="37766767" w14:textId="7A4C7BD3" w:rsidR="00E8317A" w:rsidRDefault="000F4DB4" w:rsidP="00EB2712">
      <w:pPr>
        <w:spacing w:line="480" w:lineRule="auto"/>
        <w:ind w:firstLine="720"/>
      </w:pPr>
      <w:r>
        <w:lastRenderedPageBreak/>
        <w:t>Parties with no legal education</w:t>
      </w:r>
      <w:r w:rsidR="00177A05">
        <w:t xml:space="preserve">, an unsophisticated party in contract parlance, </w:t>
      </w:r>
      <w:r>
        <w:t xml:space="preserve">can quickly learn </w:t>
      </w:r>
      <w:r w:rsidR="003E1F9E">
        <w:t xml:space="preserve">the </w:t>
      </w:r>
      <w:r>
        <w:t>eleven Incoterms</w:t>
      </w:r>
      <w:r w:rsidR="003E1F9E">
        <w:t xml:space="preserve"> and use them when constructing transactional documents</w:t>
      </w:r>
      <w:r>
        <w:t>.</w:t>
      </w:r>
      <w:r>
        <w:rPr>
          <w:rStyle w:val="EndnoteReference"/>
        </w:rPr>
        <w:endnoteReference w:id="10"/>
      </w:r>
      <w:r w:rsidR="003E1F9E">
        <w:t xml:space="preserve"> This presents an excellent cost</w:t>
      </w:r>
      <w:r w:rsidR="00693601">
        <w:t>-</w:t>
      </w:r>
      <w:r w:rsidR="003E1F9E">
        <w:t>saving opportunity</w:t>
      </w:r>
      <w:r w:rsidR="00177A05">
        <w:t xml:space="preserve"> because less skilled</w:t>
      </w:r>
      <w:r w:rsidR="000831A5">
        <w:t>, and therefore less expensive,</w:t>
      </w:r>
      <w:r w:rsidR="00177A05">
        <w:t xml:space="preserve"> workers can be used to construct and negotiate cross</w:t>
      </w:r>
      <w:r w:rsidR="00693601">
        <w:t>-</w:t>
      </w:r>
      <w:r w:rsidR="00E6090A">
        <w:t>border</w:t>
      </w:r>
      <w:r w:rsidR="00177A05">
        <w:t xml:space="preserve"> transactions.</w:t>
      </w:r>
      <w:r w:rsidR="00177A05">
        <w:rPr>
          <w:rStyle w:val="EndnoteReference"/>
        </w:rPr>
        <w:endnoteReference w:id="11"/>
      </w:r>
      <w:r w:rsidR="00177A05">
        <w:t xml:space="preserve"> For example</w:t>
      </w:r>
      <w:r w:rsidR="00693601">
        <w:t>,</w:t>
      </w:r>
      <w:r w:rsidR="00177A05">
        <w:t xml:space="preserve"> a contract specialist might be informed </w:t>
      </w:r>
      <w:r w:rsidR="00693601">
        <w:t xml:space="preserve">that </w:t>
      </w:r>
      <w:r w:rsidR="00177A05">
        <w:t xml:space="preserve">they can agree to </w:t>
      </w:r>
      <w:r w:rsidR="000831A5">
        <w:t>“</w:t>
      </w:r>
      <w:r w:rsidR="00177A05">
        <w:t>DDP</w:t>
      </w:r>
      <w:r w:rsidR="000831A5">
        <w:t>”</w:t>
      </w:r>
      <w:r w:rsidR="00177A05">
        <w:t xml:space="preserve"> for X price or </w:t>
      </w:r>
      <w:r w:rsidR="000831A5">
        <w:t>“</w:t>
      </w:r>
      <w:r w:rsidR="00177A05">
        <w:t>FCA</w:t>
      </w:r>
      <w:r w:rsidR="000831A5">
        <w:t>”</w:t>
      </w:r>
      <w:r w:rsidR="00177A05">
        <w:t xml:space="preserve"> at Y price.</w:t>
      </w:r>
      <w:r>
        <w:t xml:space="preserve"> </w:t>
      </w:r>
      <w:r w:rsidR="00177A05">
        <w:t>However, the u</w:t>
      </w:r>
      <w:r w:rsidR="00E8317A">
        <w:t xml:space="preserve">nsophisticated </w:t>
      </w:r>
      <w:r w:rsidR="00177A05">
        <w:t>parties must still be careful because the</w:t>
      </w:r>
      <w:r w:rsidR="00177A05" w:rsidRPr="00177A05">
        <w:t xml:space="preserve"> </w:t>
      </w:r>
      <w:r w:rsidR="00177A05">
        <w:t>“</w:t>
      </w:r>
      <w:r w:rsidR="00177A05" w:rsidRPr="00177A05">
        <w:t>incorrect use of Incoterms may bind the parties to obligations that</w:t>
      </w:r>
      <w:r w:rsidR="000831A5">
        <w:t>…</w:t>
      </w:r>
      <w:r w:rsidR="00177A05" w:rsidRPr="00177A05">
        <w:t xml:space="preserve"> are not only beyond their understanding but also beyond their capabilities</w:t>
      </w:r>
      <w:r w:rsidR="00973291">
        <w:t>.</w:t>
      </w:r>
      <w:r w:rsidR="00177A05" w:rsidRPr="00177A05">
        <w:t>”</w:t>
      </w:r>
      <w:r w:rsidR="00177A05">
        <w:rPr>
          <w:rStyle w:val="EndnoteReference"/>
        </w:rPr>
        <w:endnoteReference w:id="12"/>
      </w:r>
    </w:p>
    <w:p w14:paraId="5EE3BA40" w14:textId="2CBC8D2C" w:rsidR="00177A05" w:rsidRDefault="00177A05" w:rsidP="003E1F9E">
      <w:pPr>
        <w:spacing w:line="480" w:lineRule="auto"/>
        <w:ind w:firstLine="720"/>
      </w:pPr>
      <w:r>
        <w:t>To avoid the incorrect use of Incoterms</w:t>
      </w:r>
      <w:r w:rsidR="00973291">
        <w:t xml:space="preserve"> and the accompanying risks of non-compliance,</w:t>
      </w:r>
      <w:r>
        <w:t xml:space="preserve"> companies often take overbroad measures </w:t>
      </w:r>
      <w:r w:rsidR="00973291">
        <w:t xml:space="preserve">to apply blanket policies </w:t>
      </w:r>
      <w:r w:rsidR="00FB38F5">
        <w:t xml:space="preserve">on </w:t>
      </w:r>
      <w:r w:rsidR="00693601">
        <w:t>I</w:t>
      </w:r>
      <w:r w:rsidR="00FB38F5">
        <w:t>ncoterm</w:t>
      </w:r>
      <w:r w:rsidR="00693601">
        <w:t>s</w:t>
      </w:r>
      <w:r w:rsidR="00FB38F5">
        <w:t xml:space="preserve"> selection</w:t>
      </w:r>
      <w:r w:rsidR="00973291">
        <w:t xml:space="preserve"> where a</w:t>
      </w:r>
      <w:r w:rsidR="00FB38F5">
        <w:t xml:space="preserve"> more tailored approach could result in savings</w:t>
      </w:r>
      <w:r w:rsidR="00973291">
        <w:t>.</w:t>
      </w:r>
      <w:r w:rsidR="00973291">
        <w:rPr>
          <w:rStyle w:val="EndnoteReference"/>
        </w:rPr>
        <w:endnoteReference w:id="13"/>
      </w:r>
      <w:r w:rsidR="00BD02D7">
        <w:t xml:space="preserve"> For example, “one-third of eligible exports miss out on the reduced or exempted duties.”</w:t>
      </w:r>
      <w:r w:rsidR="00BD02D7">
        <w:rPr>
          <w:rStyle w:val="EndnoteReference"/>
        </w:rPr>
        <w:endnoteReference w:id="14"/>
      </w:r>
      <w:r w:rsidR="00BD02D7">
        <w:t xml:space="preserve"> This missed opportunity is a net loss to contracting parties and the consumers who will bear the passed</w:t>
      </w:r>
      <w:r w:rsidR="00693601">
        <w:t>-</w:t>
      </w:r>
      <w:r w:rsidR="00BD02D7">
        <w:t>o</w:t>
      </w:r>
      <w:r w:rsidR="00E6090A">
        <w:t>n</w:t>
      </w:r>
      <w:r w:rsidR="00BD02D7">
        <w:t xml:space="preserve"> costs.</w:t>
      </w:r>
      <w:r w:rsidR="00BD02D7">
        <w:rPr>
          <w:rStyle w:val="EndnoteReference"/>
        </w:rPr>
        <w:endnoteReference w:id="15"/>
      </w:r>
      <w:r w:rsidR="00BD02D7">
        <w:t xml:space="preserve"> However,</w:t>
      </w:r>
      <w:r w:rsidR="00973291">
        <w:t xml:space="preserve"> </w:t>
      </w:r>
      <w:r w:rsidR="00BD02D7">
        <w:t>c</w:t>
      </w:r>
      <w:r w:rsidR="00FB38F5">
        <w:t>ompanies have done the math</w:t>
      </w:r>
      <w:r w:rsidR="00693601">
        <w:t>,</w:t>
      </w:r>
      <w:r w:rsidR="00FB38F5">
        <w:t xml:space="preserve"> and the risk of a tailored approach’s misapplication outweigh</w:t>
      </w:r>
      <w:r w:rsidR="00693601">
        <w:t>s</w:t>
      </w:r>
      <w:r w:rsidR="00FB38F5">
        <w:t xml:space="preserve"> the potent</w:t>
      </w:r>
      <w:r w:rsidR="00693601">
        <w:t>ial</w:t>
      </w:r>
      <w:r w:rsidR="00FB38F5">
        <w:t xml:space="preserve"> cost savings.</w:t>
      </w:r>
      <w:r w:rsidR="00FB38F5">
        <w:rPr>
          <w:rStyle w:val="EndnoteReference"/>
        </w:rPr>
        <w:endnoteReference w:id="16"/>
      </w:r>
      <w:r w:rsidR="00FB38F5">
        <w:t xml:space="preserve"> </w:t>
      </w:r>
      <w:r w:rsidR="00BD02D7">
        <w:t>Hiring sophisticated analysts will also end up</w:t>
      </w:r>
      <w:r w:rsidR="000831A5">
        <w:t xml:space="preserve"> a losing proposition when all costs are accounted for</w:t>
      </w:r>
      <w:r w:rsidR="00BD02D7">
        <w:t>.</w:t>
      </w:r>
      <w:r w:rsidR="00BD02D7">
        <w:rPr>
          <w:rStyle w:val="EndnoteReference"/>
        </w:rPr>
        <w:endnoteReference w:id="17"/>
      </w:r>
    </w:p>
    <w:p w14:paraId="283670EB" w14:textId="362285BF" w:rsidR="005D3368" w:rsidRDefault="00BD02D7" w:rsidP="009B5246">
      <w:pPr>
        <w:spacing w:line="480" w:lineRule="auto"/>
        <w:ind w:firstLine="720"/>
      </w:pPr>
      <w:r>
        <w:t>AI can assist unsophisticated parties</w:t>
      </w:r>
      <w:r w:rsidR="00D733F5">
        <w:t xml:space="preserve"> </w:t>
      </w:r>
      <w:r w:rsidR="000831A5">
        <w:t>in</w:t>
      </w:r>
      <w:r>
        <w:t xml:space="preserve"> mak</w:t>
      </w:r>
      <w:r w:rsidR="000831A5">
        <w:t xml:space="preserve">ing </w:t>
      </w:r>
      <w:r>
        <w:t xml:space="preserve">tailored selections of incoterms with </w:t>
      </w:r>
      <w:r w:rsidR="000831A5">
        <w:t>risk profiles similar</w:t>
      </w:r>
      <w:r>
        <w:t xml:space="preserve"> </w:t>
      </w:r>
      <w:r w:rsidR="000831A5">
        <w:t xml:space="preserve">to those </w:t>
      </w:r>
      <w:r>
        <w:t>of sophisticated parties.</w:t>
      </w:r>
      <w:r>
        <w:rPr>
          <w:rStyle w:val="EndnoteReference"/>
        </w:rPr>
        <w:endnoteReference w:id="18"/>
      </w:r>
      <w:r w:rsidR="00CC495E">
        <w:t xml:space="preserve"> AI can use mathematical modeling to select incoterms and optimize value better than blanket “established practices” because </w:t>
      </w:r>
      <w:r w:rsidR="002A72FE">
        <w:t>AI</w:t>
      </w:r>
      <w:r w:rsidR="00CC495E">
        <w:t xml:space="preserve"> can meticulously </w:t>
      </w:r>
      <w:r w:rsidR="007931C6">
        <w:t>account for all relevant decision factors.</w:t>
      </w:r>
      <w:r w:rsidR="007931C6">
        <w:rPr>
          <w:rStyle w:val="EndnoteReference"/>
        </w:rPr>
        <w:endnoteReference w:id="19"/>
      </w:r>
      <w:r w:rsidR="007931C6">
        <w:t xml:space="preserve"> </w:t>
      </w:r>
      <w:r w:rsidR="00D733F5">
        <w:t xml:space="preserve">The mathematical modeling of AI </w:t>
      </w:r>
      <w:r w:rsidR="002A72FE">
        <w:t xml:space="preserve">allows unsophisticated parties to tailor their Incoterm selection to meet the needs of </w:t>
      </w:r>
      <w:r w:rsidR="00E6090A">
        <w:t>individual transactions.</w:t>
      </w:r>
      <w:r w:rsidR="00E6090A">
        <w:rPr>
          <w:rStyle w:val="EndnoteReference"/>
        </w:rPr>
        <w:endnoteReference w:id="20"/>
      </w:r>
      <w:r w:rsidR="009B5246">
        <w:t xml:space="preserve"> </w:t>
      </w:r>
      <w:r w:rsidR="005D3368">
        <w:t>The cost savings of AI offset the costs of creating a</w:t>
      </w:r>
      <w:r w:rsidR="009B5246">
        <w:t xml:space="preserve"> </w:t>
      </w:r>
      <w:r w:rsidR="009B5246">
        <w:lastRenderedPageBreak/>
        <w:t>model to optimize Incoterm selection without the need for expensive, sophisticated employees.</w:t>
      </w:r>
    </w:p>
    <w:p w14:paraId="3A7B038E" w14:textId="41DE2CC2" w:rsidR="00E6090A" w:rsidRDefault="00E6090A" w:rsidP="00BD02D7">
      <w:pPr>
        <w:spacing w:line="480" w:lineRule="auto"/>
        <w:ind w:firstLine="720"/>
      </w:pPr>
      <w:r>
        <w:t xml:space="preserve">In conclusion, </w:t>
      </w:r>
      <w:r w:rsidR="000831A5">
        <w:t xml:space="preserve">pre-negotiated Incoterms facilitate </w:t>
      </w:r>
      <w:r>
        <w:t>cross</w:t>
      </w:r>
      <w:r w:rsidR="00D478E1">
        <w:t>-</w:t>
      </w:r>
      <w:r>
        <w:t>border transactions</w:t>
      </w:r>
      <w:r w:rsidR="000831A5">
        <w:t>,</w:t>
      </w:r>
      <w:r>
        <w:t xml:space="preserve"> and the selection of </w:t>
      </w:r>
      <w:r w:rsidR="000831A5">
        <w:t>I</w:t>
      </w:r>
      <w:r>
        <w:t xml:space="preserve">ncoterms can be optimized most efficiently through AI. </w:t>
      </w:r>
      <w:r w:rsidR="00D478E1">
        <w:t>Few studies</w:t>
      </w:r>
      <w:r>
        <w:t xml:space="preserve"> have sought to describe the optimal mathematical modeling to produce balance compliance risks most effectively.</w:t>
      </w:r>
      <w:r>
        <w:rPr>
          <w:rStyle w:val="EndnoteReference"/>
        </w:rPr>
        <w:endnoteReference w:id="21"/>
      </w:r>
      <w:r>
        <w:t xml:space="preserve"> Likely, the path forward will be opaque because businesses with historical data on executed transactions will train internal generative AI models protected as trade secrets.</w:t>
      </w:r>
      <w:r w:rsidR="001171AC">
        <w:t xml:space="preserve"> </w:t>
      </w:r>
      <w:r w:rsidR="00477897">
        <w:t xml:space="preserve">In the </w:t>
      </w:r>
      <w:r w:rsidR="001171AC">
        <w:t>public</w:t>
      </w:r>
      <w:r w:rsidR="00477897">
        <w:t xml:space="preserve"> interest</w:t>
      </w:r>
      <w:r w:rsidR="00693601">
        <w:t>,</w:t>
      </w:r>
      <w:r w:rsidR="001171AC">
        <w:t xml:space="preserve"> an effort should be made to make these mathematical models publicly available</w:t>
      </w:r>
      <w:r w:rsidR="00477897">
        <w:t xml:space="preserve"> so that global trade can be optimized</w:t>
      </w:r>
      <w:r w:rsidR="001171AC">
        <w:t>.</w:t>
      </w:r>
    </w:p>
    <w:sectPr w:rsidR="00E6090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3190F" w14:textId="77777777" w:rsidR="002A2301" w:rsidRDefault="002A2301" w:rsidP="002A7E47">
      <w:r>
        <w:separator/>
      </w:r>
    </w:p>
  </w:endnote>
  <w:endnote w:type="continuationSeparator" w:id="0">
    <w:p w14:paraId="4DAF6AB6" w14:textId="77777777" w:rsidR="002A2301" w:rsidRDefault="002A2301" w:rsidP="002A7E47">
      <w:r>
        <w:continuationSeparator/>
      </w:r>
    </w:p>
  </w:endnote>
  <w:endnote w:id="1">
    <w:p w14:paraId="777102B5" w14:textId="788F071F" w:rsidR="005D61ED" w:rsidRPr="005D61ED" w:rsidRDefault="005D61ED" w:rsidP="005D61ED">
      <w:pPr>
        <w:pStyle w:val="EndnoteText"/>
        <w:rPr>
          <w:i/>
          <w:iCs/>
        </w:rPr>
      </w:pPr>
      <w:r>
        <w:rPr>
          <w:rStyle w:val="EndnoteReference"/>
        </w:rPr>
        <w:endnoteRef/>
      </w:r>
      <w:r>
        <w:t xml:space="preserve"> </w:t>
      </w:r>
      <w:r w:rsidRPr="005D61ED">
        <w:t>Sharifah Saeedah Syed-Mohamed</w:t>
      </w:r>
      <w:r>
        <w:t xml:space="preserve">, </w:t>
      </w:r>
      <w:r w:rsidRPr="005D61ED">
        <w:rPr>
          <w:i/>
          <w:iCs/>
        </w:rPr>
        <w:t>Goodbye Incoterms 2010, Welcome Incoterms 2020:</w:t>
      </w:r>
    </w:p>
    <w:p w14:paraId="4891A1CC" w14:textId="64DB9FD6" w:rsidR="005D61ED" w:rsidRPr="005D61ED" w:rsidRDefault="005D61ED" w:rsidP="005D61ED">
      <w:pPr>
        <w:pStyle w:val="EndnoteText"/>
      </w:pPr>
      <w:r w:rsidRPr="005D61ED">
        <w:rPr>
          <w:i/>
          <w:iCs/>
        </w:rPr>
        <w:t>A Brief Analysis</w:t>
      </w:r>
      <w:r>
        <w:t xml:space="preserve">, 27 </w:t>
      </w:r>
      <w:r>
        <w:rPr>
          <w:smallCaps/>
        </w:rPr>
        <w:t xml:space="preserve">Waikato L. Rev. </w:t>
      </w:r>
      <w:r>
        <w:t>62</w:t>
      </w:r>
      <w:r w:rsidR="000524C2">
        <w:t>, 62</w:t>
      </w:r>
      <w:r>
        <w:t xml:space="preserve"> (2019).</w:t>
      </w:r>
    </w:p>
  </w:endnote>
  <w:endnote w:id="2">
    <w:p w14:paraId="1F90291B" w14:textId="259A4CC0" w:rsidR="000524C2" w:rsidRPr="000524C2" w:rsidRDefault="000524C2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</w:rPr>
        <w:t>Id.</w:t>
      </w:r>
    </w:p>
  </w:endnote>
  <w:endnote w:id="3">
    <w:p w14:paraId="70CF5D08" w14:textId="174C632C" w:rsidR="00F20FC4" w:rsidRPr="00F20FC4" w:rsidRDefault="00F20FC4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</w:rPr>
        <w:t xml:space="preserve">See id. </w:t>
      </w:r>
    </w:p>
  </w:endnote>
  <w:endnote w:id="4">
    <w:p w14:paraId="5383EA45" w14:textId="540EA890" w:rsidR="00F20FC4" w:rsidRPr="00F20FC4" w:rsidRDefault="00F20FC4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</w:rPr>
        <w:t xml:space="preserve">Id, </w:t>
      </w:r>
      <w:r>
        <w:t>at 63-65</w:t>
      </w:r>
      <w:r w:rsidR="00E8317A">
        <w:t>, 67</w:t>
      </w:r>
      <w:r>
        <w:t>.</w:t>
      </w:r>
    </w:p>
  </w:endnote>
  <w:endnote w:id="5">
    <w:p w14:paraId="7D48FDA8" w14:textId="7A7A5B21" w:rsidR="00EB2712" w:rsidRPr="00EB2712" w:rsidRDefault="00EB2712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E8317A">
        <w:rPr>
          <w:i/>
          <w:iCs/>
        </w:rPr>
        <w:t>I</w:t>
      </w:r>
      <w:r>
        <w:rPr>
          <w:i/>
          <w:iCs/>
        </w:rPr>
        <w:t xml:space="preserve">d, </w:t>
      </w:r>
      <w:r>
        <w:t>at 6</w:t>
      </w:r>
      <w:r w:rsidR="00E8317A">
        <w:t>7, 70</w:t>
      </w:r>
      <w:r>
        <w:t>.</w:t>
      </w:r>
    </w:p>
  </w:endnote>
  <w:endnote w:id="6">
    <w:p w14:paraId="64732841" w14:textId="431C8CFB" w:rsidR="00EB2712" w:rsidRPr="00EB2712" w:rsidRDefault="00EB2712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</w:rPr>
        <w:t>See id</w:t>
      </w:r>
      <w:r w:rsidR="00E8317A">
        <w:rPr>
          <w:i/>
          <w:iCs/>
        </w:rPr>
        <w:t xml:space="preserve">, </w:t>
      </w:r>
      <w:r w:rsidR="00E8317A">
        <w:t>at 67-68</w:t>
      </w:r>
      <w:r>
        <w:rPr>
          <w:i/>
          <w:iCs/>
        </w:rPr>
        <w:t>.</w:t>
      </w:r>
    </w:p>
  </w:endnote>
  <w:endnote w:id="7">
    <w:p w14:paraId="1E37C141" w14:textId="38AFB9EA" w:rsidR="00EB2712" w:rsidRPr="00EB2712" w:rsidRDefault="00EB2712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</w:rPr>
        <w:t>See id.</w:t>
      </w:r>
    </w:p>
  </w:endnote>
  <w:endnote w:id="8">
    <w:p w14:paraId="5C4FC5F7" w14:textId="138126F5" w:rsidR="00E8317A" w:rsidRPr="00E8317A" w:rsidRDefault="00E8317A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</w:rPr>
        <w:t>See id.</w:t>
      </w:r>
    </w:p>
  </w:endnote>
  <w:endnote w:id="9">
    <w:p w14:paraId="3DE16318" w14:textId="057D8E97" w:rsidR="00E8317A" w:rsidRPr="00E8317A" w:rsidRDefault="00E8317A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</w:rPr>
        <w:t>See id.</w:t>
      </w:r>
    </w:p>
  </w:endnote>
  <w:endnote w:id="10">
    <w:p w14:paraId="06EF82CB" w14:textId="6B49EF47" w:rsidR="000F4DB4" w:rsidRPr="003E1F9E" w:rsidRDefault="000F4DB4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</w:rPr>
        <w:t xml:space="preserve">See </w:t>
      </w:r>
      <w:r w:rsidR="003E1F9E">
        <w:rPr>
          <w:i/>
          <w:iCs/>
        </w:rPr>
        <w:t xml:space="preserve">id, </w:t>
      </w:r>
      <w:r w:rsidR="003E1F9E">
        <w:t>at 70.</w:t>
      </w:r>
    </w:p>
  </w:endnote>
  <w:endnote w:id="11">
    <w:p w14:paraId="434668F4" w14:textId="7E5DA12F" w:rsidR="00177A05" w:rsidRPr="00177A05" w:rsidRDefault="00177A05">
      <w:pPr>
        <w:pStyle w:val="EndnoteText"/>
        <w:rPr>
          <w:i/>
          <w:iCs/>
        </w:rPr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</w:rPr>
        <w:t>See id.</w:t>
      </w:r>
    </w:p>
  </w:endnote>
  <w:endnote w:id="12">
    <w:p w14:paraId="5CD962C7" w14:textId="4FE8447C" w:rsidR="00177A05" w:rsidRPr="00177A05" w:rsidRDefault="00177A05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</w:rPr>
        <w:t xml:space="preserve">Id, at </w:t>
      </w:r>
      <w:r>
        <w:t>76.</w:t>
      </w:r>
    </w:p>
  </w:endnote>
  <w:endnote w:id="13">
    <w:p w14:paraId="3DDB9900" w14:textId="06B2DE03" w:rsidR="00973291" w:rsidRPr="00973291" w:rsidRDefault="00973291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</w:rPr>
        <w:t xml:space="preserve">See </w:t>
      </w:r>
      <w:r w:rsidRPr="00973291">
        <w:t>Ralf W. Seifert</w:t>
      </w:r>
      <w:r>
        <w:t xml:space="preserve"> &amp;</w:t>
      </w:r>
      <w:r w:rsidRPr="00973291">
        <w:t xml:space="preserve"> Philip Sieber-Gasser</w:t>
      </w:r>
      <w:r>
        <w:t xml:space="preserve">, </w:t>
      </w:r>
      <w:r w:rsidRPr="00973291">
        <w:rPr>
          <w:i/>
          <w:iCs/>
        </w:rPr>
        <w:t>How AI could help navigate complex trade rules and save billions on tariffs</w:t>
      </w:r>
      <w:r>
        <w:t xml:space="preserve">, </w:t>
      </w:r>
      <w:r>
        <w:rPr>
          <w:smallCaps/>
        </w:rPr>
        <w:t>Supply Chain</w:t>
      </w:r>
      <w:r>
        <w:t xml:space="preserve"> (Jul. 4, 2024), </w:t>
      </w:r>
      <w:r w:rsidRPr="00973291">
        <w:t>https://www.imd.org/ibyimd/supply-chain/how-ai-could-help-navigate-complex-trade-rules-and-save-billions-on-tariffs/</w:t>
      </w:r>
      <w:r>
        <w:t>.</w:t>
      </w:r>
    </w:p>
  </w:endnote>
  <w:endnote w:id="14">
    <w:p w14:paraId="0F18FE86" w14:textId="77777777" w:rsidR="00BD02D7" w:rsidRPr="00FB38F5" w:rsidRDefault="00BD02D7" w:rsidP="00BD02D7">
      <w:pPr>
        <w:pStyle w:val="EndnoteText"/>
        <w:rPr>
          <w:i/>
          <w:iCs/>
        </w:rPr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</w:rPr>
        <w:t>See id.</w:t>
      </w:r>
    </w:p>
  </w:endnote>
  <w:endnote w:id="15">
    <w:p w14:paraId="4CE92682" w14:textId="77777777" w:rsidR="00BD02D7" w:rsidRPr="00BD02D7" w:rsidRDefault="00BD02D7" w:rsidP="00BD02D7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</w:rPr>
        <w:t>See id.</w:t>
      </w:r>
    </w:p>
  </w:endnote>
  <w:endnote w:id="16">
    <w:p w14:paraId="18691B1F" w14:textId="52361943" w:rsidR="00FB38F5" w:rsidRPr="00FB38F5" w:rsidRDefault="00FB38F5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</w:rPr>
        <w:t>See id.</w:t>
      </w:r>
    </w:p>
  </w:endnote>
  <w:endnote w:id="17">
    <w:p w14:paraId="54B3B2DE" w14:textId="04032700" w:rsidR="00BD02D7" w:rsidRPr="00BD02D7" w:rsidRDefault="00BD02D7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</w:rPr>
        <w:t>See id.</w:t>
      </w:r>
    </w:p>
  </w:endnote>
  <w:endnote w:id="18">
    <w:p w14:paraId="5A772EFA" w14:textId="423A92C6" w:rsidR="00BD02D7" w:rsidRPr="00BD02D7" w:rsidRDefault="00BD02D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D02D7">
        <w:t xml:space="preserve">Marta </w:t>
      </w:r>
      <w:r w:rsidRPr="00BD02D7">
        <w:t>Mańkowska</w:t>
      </w:r>
      <w:r>
        <w:t xml:space="preserve"> &amp; </w:t>
      </w:r>
      <w:r w:rsidRPr="00BD02D7">
        <w:t>Monika Pettersen-Sobczyk</w:t>
      </w:r>
      <w:r>
        <w:t xml:space="preserve">, </w:t>
      </w:r>
      <w:r w:rsidRPr="00BD02D7">
        <w:rPr>
          <w:i/>
          <w:iCs/>
        </w:rPr>
        <w:t>Artificial Intelligence in Optimizing the Selection of Incoterms Rules in Cross-Border Trade. State of Knowledge and Needs for Further Research</w:t>
      </w:r>
      <w:r>
        <w:t xml:space="preserve">, 32 </w:t>
      </w:r>
      <w:r w:rsidRPr="00BD02D7">
        <w:rPr>
          <w:smallCaps/>
        </w:rPr>
        <w:t xml:space="preserve">International </w:t>
      </w:r>
      <w:r w:rsidRPr="00BD02D7">
        <w:rPr>
          <w:smallCaps/>
        </w:rPr>
        <w:t xml:space="preserve">Conference </w:t>
      </w:r>
      <w:r>
        <w:rPr>
          <w:smallCaps/>
        </w:rPr>
        <w:t>o</w:t>
      </w:r>
      <w:r w:rsidRPr="00BD02D7">
        <w:rPr>
          <w:smallCaps/>
        </w:rPr>
        <w:t>n Information Systems Development</w:t>
      </w:r>
      <w:r>
        <w:rPr>
          <w:smallCaps/>
        </w:rPr>
        <w:t xml:space="preserve"> 1 (2024).</w:t>
      </w:r>
    </w:p>
  </w:endnote>
  <w:endnote w:id="19">
    <w:p w14:paraId="7B664027" w14:textId="71C496DB" w:rsidR="007931C6" w:rsidRPr="007931C6" w:rsidRDefault="007931C6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</w:rPr>
        <w:t xml:space="preserve">Id, </w:t>
      </w:r>
      <w:r>
        <w:t>at 6.</w:t>
      </w:r>
    </w:p>
  </w:endnote>
  <w:endnote w:id="20">
    <w:p w14:paraId="401C2A7D" w14:textId="52B7E0FE" w:rsidR="00E6090A" w:rsidRPr="00E6090A" w:rsidRDefault="00E6090A">
      <w:pPr>
        <w:pStyle w:val="EndnoteText"/>
        <w:rPr>
          <w:i/>
          <w:iCs/>
        </w:rPr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</w:rPr>
        <w:t>See</w:t>
      </w:r>
      <w:r>
        <w:t xml:space="preserve"> </w:t>
      </w:r>
      <w:r>
        <w:rPr>
          <w:i/>
          <w:iCs/>
        </w:rPr>
        <w:t>id.</w:t>
      </w:r>
    </w:p>
  </w:endnote>
  <w:endnote w:id="21">
    <w:p w14:paraId="325C4462" w14:textId="01FF3320" w:rsidR="00E6090A" w:rsidRPr="00E6090A" w:rsidRDefault="00E6090A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</w:rPr>
        <w:t xml:space="preserve">Id, </w:t>
      </w:r>
      <w:r>
        <w:t>at 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DEE8B" w14:textId="77777777" w:rsidR="002A2301" w:rsidRDefault="002A2301" w:rsidP="002A7E47">
      <w:r>
        <w:separator/>
      </w:r>
    </w:p>
  </w:footnote>
  <w:footnote w:type="continuationSeparator" w:id="0">
    <w:p w14:paraId="684A4B63" w14:textId="77777777" w:rsidR="002A2301" w:rsidRDefault="002A2301" w:rsidP="002A7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60"/>
    <w:rsid w:val="000057F2"/>
    <w:rsid w:val="000524C2"/>
    <w:rsid w:val="000831A5"/>
    <w:rsid w:val="000A2864"/>
    <w:rsid w:val="000C3D7B"/>
    <w:rsid w:val="000F4DB4"/>
    <w:rsid w:val="001171AC"/>
    <w:rsid w:val="00177A05"/>
    <w:rsid w:val="001C3D2A"/>
    <w:rsid w:val="001C6601"/>
    <w:rsid w:val="002437E5"/>
    <w:rsid w:val="002A2301"/>
    <w:rsid w:val="002A72FE"/>
    <w:rsid w:val="002A7E47"/>
    <w:rsid w:val="00337FF1"/>
    <w:rsid w:val="003E1F9E"/>
    <w:rsid w:val="003F0316"/>
    <w:rsid w:val="004462DC"/>
    <w:rsid w:val="00477897"/>
    <w:rsid w:val="005D2500"/>
    <w:rsid w:val="005D3368"/>
    <w:rsid w:val="005D61ED"/>
    <w:rsid w:val="00693601"/>
    <w:rsid w:val="00791260"/>
    <w:rsid w:val="007931C6"/>
    <w:rsid w:val="007A0E24"/>
    <w:rsid w:val="007C3B3D"/>
    <w:rsid w:val="007E6BBF"/>
    <w:rsid w:val="008951F2"/>
    <w:rsid w:val="008D692F"/>
    <w:rsid w:val="00921926"/>
    <w:rsid w:val="00973291"/>
    <w:rsid w:val="009B5246"/>
    <w:rsid w:val="009E733A"/>
    <w:rsid w:val="00A82365"/>
    <w:rsid w:val="00B13116"/>
    <w:rsid w:val="00BD02D7"/>
    <w:rsid w:val="00C83BC0"/>
    <w:rsid w:val="00CC495E"/>
    <w:rsid w:val="00D00232"/>
    <w:rsid w:val="00D3463F"/>
    <w:rsid w:val="00D478E1"/>
    <w:rsid w:val="00D733F5"/>
    <w:rsid w:val="00E312E0"/>
    <w:rsid w:val="00E6090A"/>
    <w:rsid w:val="00E8317A"/>
    <w:rsid w:val="00EB2712"/>
    <w:rsid w:val="00ED2784"/>
    <w:rsid w:val="00EF2B3E"/>
    <w:rsid w:val="00F007DC"/>
    <w:rsid w:val="00F20FC4"/>
    <w:rsid w:val="00F3432E"/>
    <w:rsid w:val="00FB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C895F"/>
  <w15:chartTrackingRefBased/>
  <w15:docId w15:val="{2F4F5F42-64E0-9144-A356-2C943373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2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2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2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2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2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2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2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2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2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2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260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7E4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7E4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7E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61A093-9B72-5A46-AF92-DA2D9642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Bucklin</dc:creator>
  <cp:keywords/>
  <dc:description/>
  <cp:lastModifiedBy>Zheng, Wendy</cp:lastModifiedBy>
  <cp:revision>2</cp:revision>
  <dcterms:created xsi:type="dcterms:W3CDTF">2024-11-30T08:35:00Z</dcterms:created>
  <dcterms:modified xsi:type="dcterms:W3CDTF">2024-11-30T08:35:00Z</dcterms:modified>
</cp:coreProperties>
</file>